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C9D95" w14:textId="7F86B586" w:rsidR="008246E9" w:rsidRPr="0058620A" w:rsidRDefault="008C6DC4" w:rsidP="008246E9">
      <w:pPr>
        <w:pStyle w:val="Ttulo"/>
      </w:pPr>
      <w:r w:rsidRPr="0058620A">
        <w:t>MICROTRANSAÇÕES EM VIDEOGAMES:</w:t>
      </w:r>
    </w:p>
    <w:p w14:paraId="72E6353E" w14:textId="7BC4511F" w:rsidR="008246E9" w:rsidRPr="0058620A" w:rsidRDefault="008C6DC4" w:rsidP="008246E9">
      <w:pPr>
        <w:pStyle w:val="Ttulo"/>
      </w:pPr>
      <w:r w:rsidRPr="0058620A">
        <w:t>O SEU LUGAR NO PROCESSO COMUNICACIONAL SOB A ÓTICA DE ESTUDANTES DE JOGOS DIGITAIS</w:t>
      </w:r>
      <w:r w:rsidR="008246E9" w:rsidRPr="0058620A">
        <w:rPr>
          <w:rStyle w:val="Refdenotaderodap"/>
          <w:rFonts w:cs="Times New Roman"/>
          <w:bCs/>
          <w:lang w:val="en-US"/>
        </w:rPr>
        <w:footnoteReference w:id="1"/>
      </w:r>
    </w:p>
    <w:p w14:paraId="04957CBE" w14:textId="07BEA2DC" w:rsidR="008246E9" w:rsidRPr="0058620A" w:rsidRDefault="008C6DC4" w:rsidP="008246E9">
      <w:pPr>
        <w:pStyle w:val="Pesquisadores"/>
        <w:rPr>
          <w:color w:val="auto"/>
        </w:rPr>
      </w:pPr>
      <w:r w:rsidRPr="0058620A">
        <w:rPr>
          <w:color w:val="auto"/>
        </w:rPr>
        <w:t>Nicolas Lima</w:t>
      </w:r>
      <w:r w:rsidR="008246E9" w:rsidRPr="0058620A">
        <w:rPr>
          <w:rStyle w:val="Refdenotaderodap"/>
          <w:color w:val="auto"/>
          <w:lang w:val="en-US"/>
        </w:rPr>
        <w:footnoteReference w:id="2"/>
      </w:r>
      <w:r w:rsidR="008246E9" w:rsidRPr="0058620A">
        <w:rPr>
          <w:color w:val="auto"/>
        </w:rPr>
        <w:t xml:space="preserve">; </w:t>
      </w:r>
      <w:r w:rsidRPr="0058620A">
        <w:rPr>
          <w:color w:val="auto"/>
        </w:rPr>
        <w:t>Eduardo Zilles Borba</w:t>
      </w:r>
      <w:r w:rsidR="008246E9" w:rsidRPr="0058620A">
        <w:rPr>
          <w:rStyle w:val="Refdenotaderodap"/>
          <w:color w:val="auto"/>
          <w:lang w:val="en-US"/>
        </w:rPr>
        <w:footnoteReference w:id="3"/>
      </w:r>
    </w:p>
    <w:p w14:paraId="24634C63" w14:textId="77777777" w:rsidR="00267585" w:rsidRPr="0058620A" w:rsidRDefault="00267585" w:rsidP="0026758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cs="Times New Roman"/>
          <w:color w:val="auto"/>
        </w:rPr>
      </w:pPr>
    </w:p>
    <w:p w14:paraId="10752301" w14:textId="1AF9FF1B" w:rsidR="0058620A" w:rsidRPr="0058620A" w:rsidRDefault="00B9747A" w:rsidP="00FD2D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="00267585" w:rsidRPr="0058620A">
        <w:rPr>
          <w:rFonts w:ascii="Times New Roman" w:hAnsi="Times New Roman" w:cs="Times New Roman"/>
          <w:color w:val="auto"/>
        </w:rPr>
        <w:t xml:space="preserve"> trabalho traz uma proposta de explor</w:t>
      </w:r>
      <w:r>
        <w:rPr>
          <w:rFonts w:ascii="Times New Roman" w:hAnsi="Times New Roman" w:cs="Times New Roman"/>
          <w:color w:val="auto"/>
        </w:rPr>
        <w:t xml:space="preserve">ação às </w:t>
      </w:r>
      <w:r w:rsidR="00267585" w:rsidRPr="0058620A">
        <w:rPr>
          <w:rFonts w:ascii="Times New Roman" w:hAnsi="Times New Roman" w:cs="Times New Roman"/>
          <w:color w:val="auto"/>
        </w:rPr>
        <w:t>microtransações em jogos digitais</w:t>
      </w:r>
      <w:r>
        <w:rPr>
          <w:rFonts w:ascii="Times New Roman" w:hAnsi="Times New Roman" w:cs="Times New Roman"/>
          <w:color w:val="auto"/>
        </w:rPr>
        <w:t>,</w:t>
      </w:r>
      <w:r w:rsidR="00267585" w:rsidRPr="0058620A">
        <w:rPr>
          <w:rFonts w:ascii="Times New Roman" w:hAnsi="Times New Roman" w:cs="Times New Roman"/>
          <w:color w:val="auto"/>
        </w:rPr>
        <w:t xml:space="preserve"> refletindo sobre o seu lugar no processo comunicacional (existente </w:t>
      </w:r>
      <w:r>
        <w:rPr>
          <w:rFonts w:ascii="Times New Roman" w:hAnsi="Times New Roman" w:cs="Times New Roman"/>
          <w:color w:val="auto"/>
        </w:rPr>
        <w:t xml:space="preserve">na experiência </w:t>
      </w:r>
      <w:r w:rsidR="00267585" w:rsidRPr="0058620A">
        <w:rPr>
          <w:rFonts w:ascii="Times New Roman" w:hAnsi="Times New Roman" w:cs="Times New Roman"/>
          <w:color w:val="auto"/>
        </w:rPr>
        <w:t xml:space="preserve">entre usuário e ambiente digital), a partir da perspectiva de estudantes de jogos digitais. </w:t>
      </w:r>
      <w:r>
        <w:rPr>
          <w:rFonts w:ascii="Times New Roman" w:hAnsi="Times New Roman" w:cs="Times New Roman"/>
          <w:color w:val="auto"/>
        </w:rPr>
        <w:t>S</w:t>
      </w:r>
      <w:r w:rsidR="00267585" w:rsidRPr="0058620A">
        <w:rPr>
          <w:rFonts w:ascii="Times New Roman" w:hAnsi="Times New Roman" w:cs="Times New Roman"/>
          <w:color w:val="auto"/>
        </w:rPr>
        <w:t xml:space="preserve">eu foco de discussão assenta na exploração dos entendimentos e percepções que estes futuros desenvolvedores de </w:t>
      </w:r>
      <w:r w:rsidR="00267585" w:rsidRPr="0058620A">
        <w:rPr>
          <w:rFonts w:ascii="Times New Roman" w:hAnsi="Times New Roman" w:cs="Times New Roman"/>
          <w:i/>
          <w:iCs/>
          <w:color w:val="auto"/>
        </w:rPr>
        <w:t>games</w:t>
      </w:r>
      <w:r w:rsidR="00267585" w:rsidRPr="0058620A">
        <w:rPr>
          <w:rFonts w:ascii="Times New Roman" w:hAnsi="Times New Roman" w:cs="Times New Roman"/>
          <w:color w:val="auto"/>
        </w:rPr>
        <w:t xml:space="preserve"> têm acerca </w:t>
      </w:r>
      <w:r>
        <w:rPr>
          <w:rFonts w:ascii="Times New Roman" w:hAnsi="Times New Roman" w:cs="Times New Roman"/>
          <w:color w:val="auto"/>
        </w:rPr>
        <w:t>destas</w:t>
      </w:r>
      <w:r w:rsidR="00267585" w:rsidRPr="0058620A">
        <w:rPr>
          <w:rFonts w:ascii="Times New Roman" w:hAnsi="Times New Roman" w:cs="Times New Roman"/>
          <w:color w:val="auto"/>
        </w:rPr>
        <w:t xml:space="preserve"> transações comerciais dentro dos jogos digitais, procurando refletir sobre o seu papel enquanto agente de comunicação que pode influenciar </w:t>
      </w:r>
      <w:r>
        <w:rPr>
          <w:rFonts w:ascii="Times New Roman" w:hAnsi="Times New Roman" w:cs="Times New Roman"/>
          <w:color w:val="auto"/>
        </w:rPr>
        <w:t xml:space="preserve">positiva ou negativamente </w:t>
      </w:r>
      <w:r w:rsidR="00267585" w:rsidRPr="0058620A">
        <w:rPr>
          <w:rFonts w:ascii="Times New Roman" w:hAnsi="Times New Roman" w:cs="Times New Roman"/>
          <w:color w:val="auto"/>
        </w:rPr>
        <w:t xml:space="preserve">as narrativas, jogabilidades, enfim, as experiências do jogador. </w:t>
      </w:r>
      <w:r>
        <w:rPr>
          <w:rFonts w:ascii="Times New Roman" w:hAnsi="Times New Roman" w:cs="Times New Roman"/>
          <w:color w:val="auto"/>
        </w:rPr>
        <w:t>P</w:t>
      </w:r>
      <w:r w:rsidR="0058620A" w:rsidRPr="0058620A">
        <w:rPr>
          <w:rFonts w:ascii="Times New Roman" w:hAnsi="Times New Roman" w:cs="Times New Roman"/>
          <w:color w:val="auto"/>
        </w:rPr>
        <w:t>art</w:t>
      </w:r>
      <w:r>
        <w:rPr>
          <w:rFonts w:ascii="Times New Roman" w:hAnsi="Times New Roman" w:cs="Times New Roman"/>
          <w:color w:val="auto"/>
        </w:rPr>
        <w:t>imos</w:t>
      </w:r>
      <w:r w:rsidR="0058620A" w:rsidRPr="0058620A">
        <w:rPr>
          <w:rFonts w:ascii="Times New Roman" w:hAnsi="Times New Roman" w:cs="Times New Roman"/>
          <w:color w:val="auto"/>
        </w:rPr>
        <w:t xml:space="preserve"> do seguinte problema: </w:t>
      </w:r>
      <w:r w:rsidR="0058620A" w:rsidRPr="0058620A">
        <w:rPr>
          <w:rFonts w:ascii="Times New Roman" w:hAnsi="Times New Roman" w:cs="Times New Roman"/>
          <w:i/>
          <w:iCs/>
          <w:color w:val="auto"/>
        </w:rPr>
        <w:t>sob a ótica de estudantes de jogos digitais, que lugar as microtransações ocupam no processo comunicacional existente na relação jogador-jogo?</w:t>
      </w:r>
    </w:p>
    <w:p w14:paraId="289BE370" w14:textId="490CAA75" w:rsidR="00267585" w:rsidRPr="00B9747A" w:rsidRDefault="00267585" w:rsidP="00B974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58620A">
        <w:rPr>
          <w:rFonts w:ascii="Times New Roman" w:hAnsi="Times New Roman" w:cs="Times New Roman"/>
          <w:color w:val="auto"/>
        </w:rPr>
        <w:t xml:space="preserve">Para conduzir </w:t>
      </w:r>
      <w:r w:rsidR="00B9747A">
        <w:rPr>
          <w:rFonts w:ascii="Times New Roman" w:hAnsi="Times New Roman" w:cs="Times New Roman"/>
          <w:color w:val="auto"/>
        </w:rPr>
        <w:t xml:space="preserve">o </w:t>
      </w:r>
      <w:r w:rsidRPr="0058620A">
        <w:rPr>
          <w:rFonts w:ascii="Times New Roman" w:hAnsi="Times New Roman" w:cs="Times New Roman"/>
          <w:color w:val="auto"/>
        </w:rPr>
        <w:t xml:space="preserve">trabalho, além de apresentar uma contextualização teórica das microtransações, também é aplicada uma metodologia exploratória </w:t>
      </w:r>
      <w:r w:rsidR="00B9747A">
        <w:rPr>
          <w:rFonts w:ascii="Times New Roman" w:hAnsi="Times New Roman" w:cs="Times New Roman"/>
          <w:color w:val="auto"/>
        </w:rPr>
        <w:t>na</w:t>
      </w:r>
      <w:r w:rsidRPr="0058620A">
        <w:rPr>
          <w:rFonts w:ascii="Times New Roman" w:hAnsi="Times New Roman" w:cs="Times New Roman"/>
          <w:color w:val="auto"/>
        </w:rPr>
        <w:t xml:space="preserve"> qual os autores dialoga</w:t>
      </w:r>
      <w:r w:rsidR="00B9747A">
        <w:rPr>
          <w:rFonts w:ascii="Times New Roman" w:hAnsi="Times New Roman" w:cs="Times New Roman"/>
          <w:color w:val="auto"/>
        </w:rPr>
        <w:t>m</w:t>
      </w:r>
      <w:r w:rsidRPr="0058620A">
        <w:rPr>
          <w:rFonts w:ascii="Times New Roman" w:hAnsi="Times New Roman" w:cs="Times New Roman"/>
          <w:color w:val="auto"/>
        </w:rPr>
        <w:t xml:space="preserve"> com estudantes de jogos digitais, a fim de entender sua percepção </w:t>
      </w:r>
      <w:r w:rsidR="00B9747A">
        <w:rPr>
          <w:rFonts w:ascii="Times New Roman" w:hAnsi="Times New Roman" w:cs="Times New Roman"/>
          <w:color w:val="auto"/>
        </w:rPr>
        <w:t xml:space="preserve">– </w:t>
      </w:r>
      <w:r w:rsidRPr="0058620A">
        <w:rPr>
          <w:rFonts w:ascii="Times New Roman" w:hAnsi="Times New Roman" w:cs="Times New Roman"/>
          <w:color w:val="auto"/>
        </w:rPr>
        <w:t xml:space="preserve">enquanto </w:t>
      </w:r>
      <w:r w:rsidRPr="0058620A">
        <w:rPr>
          <w:rFonts w:ascii="Times New Roman" w:hAnsi="Times New Roman" w:cs="Times New Roman"/>
          <w:color w:val="auto"/>
        </w:rPr>
        <w:lastRenderedPageBreak/>
        <w:t>desenvolvedores independe</w:t>
      </w:r>
      <w:r w:rsidR="00FD2D7B" w:rsidRPr="0058620A">
        <w:rPr>
          <w:rFonts w:ascii="Times New Roman" w:hAnsi="Times New Roman" w:cs="Times New Roman"/>
          <w:color w:val="auto"/>
        </w:rPr>
        <w:t>n</w:t>
      </w:r>
      <w:r w:rsidRPr="0058620A">
        <w:rPr>
          <w:rFonts w:ascii="Times New Roman" w:hAnsi="Times New Roman" w:cs="Times New Roman"/>
          <w:color w:val="auto"/>
        </w:rPr>
        <w:t xml:space="preserve">tes ou futuros desenvolvedores no mercado de </w:t>
      </w:r>
      <w:r w:rsidRPr="0058620A">
        <w:rPr>
          <w:rFonts w:ascii="Times New Roman" w:hAnsi="Times New Roman" w:cs="Times New Roman"/>
          <w:i/>
          <w:iCs/>
          <w:color w:val="auto"/>
        </w:rPr>
        <w:t>games</w:t>
      </w:r>
      <w:r w:rsidR="00B9747A">
        <w:rPr>
          <w:rFonts w:ascii="Times New Roman" w:hAnsi="Times New Roman" w:cs="Times New Roman"/>
          <w:i/>
          <w:iCs/>
          <w:color w:val="auto"/>
        </w:rPr>
        <w:t xml:space="preserve"> – </w:t>
      </w:r>
      <w:r w:rsidR="00B9747A" w:rsidRPr="0058620A">
        <w:rPr>
          <w:rFonts w:ascii="Times New Roman" w:hAnsi="Times New Roman" w:cs="Times New Roman"/>
          <w:color w:val="auto"/>
        </w:rPr>
        <w:t>sobre estas práticas</w:t>
      </w:r>
      <w:r w:rsidR="00FD2D7B" w:rsidRPr="0058620A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B9747A">
        <w:rPr>
          <w:rFonts w:ascii="Times New Roman" w:eastAsia="Arial" w:hAnsi="Times New Roman" w:cs="Times New Roman"/>
          <w:color w:val="auto"/>
        </w:rPr>
        <w:t>I</w:t>
      </w:r>
      <w:r w:rsidR="00FD2D7B" w:rsidRPr="0058620A">
        <w:rPr>
          <w:rFonts w:ascii="Times New Roman" w:eastAsia="Arial" w:hAnsi="Times New Roman" w:cs="Times New Roman"/>
          <w:color w:val="auto"/>
        </w:rPr>
        <w:t>nicialmente</w:t>
      </w:r>
      <w:r w:rsidR="00B9747A">
        <w:rPr>
          <w:rFonts w:ascii="Times New Roman" w:eastAsia="Arial" w:hAnsi="Times New Roman" w:cs="Times New Roman"/>
          <w:color w:val="auto"/>
        </w:rPr>
        <w:t xml:space="preserve"> é</w:t>
      </w:r>
      <w:r w:rsidR="00FD2D7B" w:rsidRPr="0058620A">
        <w:rPr>
          <w:rFonts w:ascii="Times New Roman" w:eastAsia="Arial" w:hAnsi="Times New Roman" w:cs="Times New Roman"/>
          <w:color w:val="auto"/>
        </w:rPr>
        <w:t xml:space="preserve"> aplicado um </w:t>
      </w:r>
      <w:r w:rsidRPr="0058620A">
        <w:rPr>
          <w:rFonts w:ascii="Times New Roman" w:eastAsia="Arial" w:hAnsi="Times New Roman" w:cs="Times New Roman"/>
          <w:color w:val="auto"/>
        </w:rPr>
        <w:t xml:space="preserve">questionário-filtro </w:t>
      </w:r>
      <w:r w:rsidR="00FD2D7B" w:rsidRPr="0058620A">
        <w:rPr>
          <w:rFonts w:ascii="Times New Roman" w:eastAsia="Arial" w:hAnsi="Times New Roman" w:cs="Times New Roman"/>
          <w:color w:val="auto"/>
        </w:rPr>
        <w:t xml:space="preserve">com o objetivo de selecionar participantes voluntários que se enquadrem no perfil desejado: estudante no curso superior de Jogos Digitais e conhecedor dos conceitos básicos sobre microtransações. </w:t>
      </w:r>
      <w:r w:rsidR="00B9747A">
        <w:rPr>
          <w:rFonts w:ascii="Times New Roman" w:eastAsia="Arial" w:hAnsi="Times New Roman" w:cs="Times New Roman"/>
          <w:color w:val="auto"/>
        </w:rPr>
        <w:t>N</w:t>
      </w:r>
      <w:r w:rsidR="00FD2D7B" w:rsidRPr="0058620A">
        <w:rPr>
          <w:rFonts w:ascii="Times New Roman" w:eastAsia="Arial" w:hAnsi="Times New Roman" w:cs="Times New Roman"/>
          <w:color w:val="auto"/>
        </w:rPr>
        <w:t>uma segunda etapa são realizadas entrevistas em profundidade, de for</w:t>
      </w:r>
      <w:r w:rsidR="00B9747A">
        <w:rPr>
          <w:rFonts w:ascii="Times New Roman" w:eastAsia="Arial" w:hAnsi="Times New Roman" w:cs="Times New Roman"/>
          <w:color w:val="auto"/>
        </w:rPr>
        <w:t>m</w:t>
      </w:r>
      <w:r w:rsidR="00FD2D7B" w:rsidRPr="0058620A">
        <w:rPr>
          <w:rFonts w:ascii="Times New Roman" w:eastAsia="Arial" w:hAnsi="Times New Roman" w:cs="Times New Roman"/>
          <w:color w:val="auto"/>
        </w:rPr>
        <w:t>a individual, com estudantes que foram selecionados através do questionário-filtro</w:t>
      </w:r>
      <w:r w:rsidR="00C7523D">
        <w:rPr>
          <w:rFonts w:ascii="Times New Roman" w:eastAsia="Arial" w:hAnsi="Times New Roman" w:cs="Times New Roman"/>
          <w:color w:val="auto"/>
        </w:rPr>
        <w:t xml:space="preserve"> (DUARTE, 2010)</w:t>
      </w:r>
      <w:r w:rsidR="00FD2D7B" w:rsidRPr="0058620A">
        <w:rPr>
          <w:rFonts w:ascii="Times New Roman" w:eastAsia="Arial" w:hAnsi="Times New Roman" w:cs="Times New Roman"/>
          <w:color w:val="auto"/>
        </w:rPr>
        <w:t>. Estas entrevistas são caracterizadas por serem semiestruturadas e em profundidade, sendo executada</w:t>
      </w:r>
      <w:r w:rsidR="00045818">
        <w:rPr>
          <w:rFonts w:ascii="Times New Roman" w:eastAsia="Arial" w:hAnsi="Times New Roman" w:cs="Times New Roman"/>
          <w:color w:val="auto"/>
        </w:rPr>
        <w:t>s</w:t>
      </w:r>
      <w:r w:rsidR="00FD2D7B" w:rsidRPr="0058620A">
        <w:rPr>
          <w:rFonts w:ascii="Times New Roman" w:eastAsia="Arial" w:hAnsi="Times New Roman" w:cs="Times New Roman"/>
          <w:color w:val="auto"/>
        </w:rPr>
        <w:t xml:space="preserve"> através de videoconferências gravadas apenas para fins de recurso dos pesquisadores </w:t>
      </w:r>
      <w:r w:rsidR="00045818">
        <w:rPr>
          <w:rFonts w:ascii="Times New Roman" w:eastAsia="Arial" w:hAnsi="Times New Roman" w:cs="Times New Roman"/>
          <w:color w:val="auto"/>
        </w:rPr>
        <w:t>na realização da</w:t>
      </w:r>
      <w:r w:rsidR="00FD2D7B" w:rsidRPr="0058620A">
        <w:rPr>
          <w:rFonts w:ascii="Times New Roman" w:eastAsia="Arial" w:hAnsi="Times New Roman" w:cs="Times New Roman"/>
          <w:color w:val="auto"/>
        </w:rPr>
        <w:t xml:space="preserve"> análise de dados. Isto é, os participantes têm sua identidade preservada através de uma participação anônima. As perguntas </w:t>
      </w:r>
      <w:r w:rsidR="00B9747A">
        <w:rPr>
          <w:rFonts w:ascii="Times New Roman" w:eastAsia="Arial" w:hAnsi="Times New Roman" w:cs="Times New Roman"/>
          <w:color w:val="auto"/>
        </w:rPr>
        <w:t xml:space="preserve">foram formuladas com o objetivo de </w:t>
      </w:r>
      <w:r w:rsidR="00045818">
        <w:rPr>
          <w:rFonts w:ascii="Times New Roman" w:eastAsia="Arial" w:hAnsi="Times New Roman" w:cs="Times New Roman"/>
          <w:color w:val="auto"/>
        </w:rPr>
        <w:t>identificar</w:t>
      </w:r>
      <w:r w:rsidR="00B9747A">
        <w:rPr>
          <w:rFonts w:ascii="Times New Roman" w:eastAsia="Arial" w:hAnsi="Times New Roman" w:cs="Times New Roman"/>
          <w:color w:val="auto"/>
        </w:rPr>
        <w:t xml:space="preserve"> </w:t>
      </w:r>
      <w:r w:rsidR="00045818">
        <w:rPr>
          <w:rFonts w:ascii="Times New Roman" w:eastAsia="Arial" w:hAnsi="Times New Roman" w:cs="Times New Roman"/>
          <w:color w:val="auto"/>
        </w:rPr>
        <w:t>as</w:t>
      </w:r>
      <w:r w:rsidR="00B9747A">
        <w:rPr>
          <w:rFonts w:ascii="Times New Roman" w:eastAsia="Arial" w:hAnsi="Times New Roman" w:cs="Times New Roman"/>
          <w:color w:val="auto"/>
        </w:rPr>
        <w:t xml:space="preserve"> </w:t>
      </w:r>
      <w:r w:rsidRPr="0058620A">
        <w:rPr>
          <w:rFonts w:ascii="Times New Roman" w:eastAsia="Arial" w:hAnsi="Times New Roman" w:cs="Times New Roman"/>
          <w:color w:val="auto"/>
        </w:rPr>
        <w:t xml:space="preserve">percepções </w:t>
      </w:r>
      <w:r w:rsidR="00045818">
        <w:rPr>
          <w:rFonts w:ascii="Times New Roman" w:eastAsia="Arial" w:hAnsi="Times New Roman" w:cs="Times New Roman"/>
          <w:color w:val="auto"/>
        </w:rPr>
        <w:t>dos entrevistados sobre as</w:t>
      </w:r>
      <w:r w:rsidRPr="0058620A">
        <w:rPr>
          <w:rFonts w:ascii="Times New Roman" w:eastAsia="Arial" w:hAnsi="Times New Roman" w:cs="Times New Roman"/>
          <w:color w:val="auto"/>
        </w:rPr>
        <w:t xml:space="preserve"> microtransações no processo comunicacional</w:t>
      </w:r>
      <w:r w:rsidR="00C7523D">
        <w:rPr>
          <w:rFonts w:ascii="Times New Roman" w:eastAsia="Arial" w:hAnsi="Times New Roman" w:cs="Times New Roman"/>
          <w:color w:val="auto"/>
        </w:rPr>
        <w:t xml:space="preserve">, </w:t>
      </w:r>
      <w:r w:rsidR="00B9747A">
        <w:rPr>
          <w:rFonts w:ascii="Times New Roman" w:eastAsia="Arial" w:hAnsi="Times New Roman" w:cs="Times New Roman"/>
          <w:color w:val="auto"/>
        </w:rPr>
        <w:t xml:space="preserve">com a finalidade de mapear </w:t>
      </w:r>
      <w:r w:rsidR="00C7523D">
        <w:rPr>
          <w:rFonts w:ascii="Times New Roman" w:eastAsia="Arial" w:hAnsi="Times New Roman" w:cs="Times New Roman"/>
          <w:color w:val="auto"/>
        </w:rPr>
        <w:t>categorias por semelhança, seguindo uma técnica de análise do conteúdo (BARDIN, 2012)</w:t>
      </w:r>
      <w:r w:rsidRPr="0058620A">
        <w:rPr>
          <w:rFonts w:ascii="Times New Roman" w:eastAsia="Arial" w:hAnsi="Times New Roman" w:cs="Times New Roman"/>
          <w:color w:val="auto"/>
        </w:rPr>
        <w:t xml:space="preserve">. </w:t>
      </w:r>
    </w:p>
    <w:p w14:paraId="7CD2CD02" w14:textId="3339814D" w:rsidR="00AD5A67" w:rsidRPr="0058620A" w:rsidRDefault="00AD5A67" w:rsidP="00AD5A67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E4B8BA7" w14:textId="00535CC5" w:rsidR="00AD5A67" w:rsidRPr="0058620A" w:rsidRDefault="00F56BDA" w:rsidP="00F56BD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8620A">
        <w:rPr>
          <w:rFonts w:ascii="Times New Roman" w:hAnsi="Times New Roman" w:cs="Times New Roman"/>
          <w:b/>
          <w:bCs/>
          <w:color w:val="auto"/>
        </w:rPr>
        <w:t xml:space="preserve">Abordagens Teóricas à Temática: </w:t>
      </w:r>
      <w:r w:rsidR="00C7523D">
        <w:rPr>
          <w:rFonts w:ascii="Times New Roman" w:hAnsi="Times New Roman" w:cs="Times New Roman"/>
          <w:b/>
          <w:bCs/>
          <w:color w:val="auto"/>
        </w:rPr>
        <w:t>um primeiro olhar</w:t>
      </w:r>
    </w:p>
    <w:p w14:paraId="4950D17F" w14:textId="1C6787D4" w:rsidR="008C6DC4" w:rsidRPr="00C7523D" w:rsidRDefault="008C6DC4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7523D">
        <w:rPr>
          <w:rFonts w:ascii="Times New Roman" w:hAnsi="Times New Roman" w:cs="Times New Roman"/>
          <w:color w:val="auto"/>
        </w:rPr>
        <w:t xml:space="preserve">Em 2018, uma pesquisa realizada pela </w:t>
      </w:r>
      <w:proofErr w:type="spellStart"/>
      <w:r w:rsidRPr="00C7523D">
        <w:rPr>
          <w:rFonts w:ascii="Times New Roman" w:hAnsi="Times New Roman" w:cs="Times New Roman"/>
          <w:color w:val="auto"/>
        </w:rPr>
        <w:t>Newzoo</w:t>
      </w:r>
      <w:proofErr w:type="spellEnd"/>
      <w:r w:rsidRPr="00C7523D">
        <w:rPr>
          <w:rFonts w:ascii="Times New Roman" w:hAnsi="Times New Roman" w:cs="Times New Roman"/>
          <w:color w:val="auto"/>
          <w:vertAlign w:val="superscript"/>
        </w:rPr>
        <w:footnoteReference w:id="4"/>
      </w:r>
      <w:r w:rsidRPr="00C7523D">
        <w:rPr>
          <w:rFonts w:ascii="Times New Roman" w:hAnsi="Times New Roman" w:cs="Times New Roman"/>
          <w:color w:val="auto"/>
        </w:rPr>
        <w:t xml:space="preserve"> revelou a existência de mais de 2 bilhões de jogadores de videogames no mundo. Além disso, o estudo apontou que naquele ano, este mercado atingiu um faturamento de U$ 130 bilhões. No Brasil, os índices da pesquisa indicaram a existência de 7 milhões de jogadores, atingindo um faturamento de U$ 1,5 bilhões.</w:t>
      </w:r>
    </w:p>
    <w:p w14:paraId="0C067052" w14:textId="168143F4" w:rsidR="008C6DC4" w:rsidRPr="00C7523D" w:rsidRDefault="008C6DC4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7523D">
        <w:rPr>
          <w:rFonts w:ascii="Times New Roman" w:hAnsi="Times New Roman" w:cs="Times New Roman"/>
          <w:color w:val="auto"/>
        </w:rPr>
        <w:t xml:space="preserve">Não apenas por causa destes números, mas também pela popularização da cultura </w:t>
      </w:r>
      <w:r w:rsidRPr="00C7523D">
        <w:rPr>
          <w:rFonts w:ascii="Times New Roman" w:hAnsi="Times New Roman" w:cs="Times New Roman"/>
          <w:i/>
          <w:color w:val="auto"/>
        </w:rPr>
        <w:t>gamer</w:t>
      </w:r>
      <w:r w:rsidR="002E35C3">
        <w:rPr>
          <w:rFonts w:ascii="Times New Roman" w:hAnsi="Times New Roman" w:cs="Times New Roman"/>
          <w:i/>
          <w:color w:val="auto"/>
        </w:rPr>
        <w:t>,</w:t>
      </w:r>
      <w:r w:rsidRPr="00C7523D">
        <w:rPr>
          <w:rFonts w:ascii="Times New Roman" w:hAnsi="Times New Roman" w:cs="Times New Roman"/>
          <w:i/>
          <w:color w:val="auto"/>
        </w:rPr>
        <w:t xml:space="preserve"> </w:t>
      </w:r>
      <w:r w:rsidR="00B9747A">
        <w:rPr>
          <w:rFonts w:ascii="Times New Roman" w:hAnsi="Times New Roman" w:cs="Times New Roman"/>
          <w:color w:val="auto"/>
        </w:rPr>
        <w:t>os</w:t>
      </w:r>
      <w:r w:rsidRPr="00C7523D">
        <w:rPr>
          <w:rFonts w:ascii="Times New Roman" w:hAnsi="Times New Roman" w:cs="Times New Roman"/>
          <w:color w:val="auto"/>
        </w:rPr>
        <w:t xml:space="preserve"> jogos digitais </w:t>
      </w:r>
      <w:r w:rsidR="00014BC7">
        <w:rPr>
          <w:rFonts w:ascii="Times New Roman" w:hAnsi="Times New Roman" w:cs="Times New Roman"/>
          <w:color w:val="auto"/>
        </w:rPr>
        <w:t xml:space="preserve">são mais do que </w:t>
      </w:r>
      <w:r w:rsidRPr="00C7523D">
        <w:rPr>
          <w:rFonts w:ascii="Times New Roman" w:hAnsi="Times New Roman" w:cs="Times New Roman"/>
          <w:color w:val="auto"/>
        </w:rPr>
        <w:t xml:space="preserve">plataformas </w:t>
      </w:r>
      <w:r w:rsidR="00014BC7">
        <w:rPr>
          <w:rFonts w:ascii="Times New Roman" w:hAnsi="Times New Roman" w:cs="Times New Roman"/>
          <w:color w:val="auto"/>
        </w:rPr>
        <w:t xml:space="preserve">de </w:t>
      </w:r>
      <w:r w:rsidRPr="00C7523D">
        <w:rPr>
          <w:rFonts w:ascii="Times New Roman" w:hAnsi="Times New Roman" w:cs="Times New Roman"/>
          <w:color w:val="auto"/>
        </w:rPr>
        <w:t>entretenimento</w:t>
      </w:r>
      <w:r w:rsidR="00014BC7">
        <w:rPr>
          <w:rFonts w:ascii="Times New Roman" w:hAnsi="Times New Roman" w:cs="Times New Roman"/>
          <w:color w:val="auto"/>
        </w:rPr>
        <w:t xml:space="preserve">. Elas são </w:t>
      </w:r>
      <w:r w:rsidR="005E2106">
        <w:rPr>
          <w:rFonts w:ascii="Times New Roman" w:hAnsi="Times New Roman" w:cs="Times New Roman"/>
          <w:color w:val="auto"/>
        </w:rPr>
        <w:t xml:space="preserve">mídias digitais que abarcam </w:t>
      </w:r>
      <w:r w:rsidRPr="00C7523D">
        <w:rPr>
          <w:rFonts w:ascii="Times New Roman" w:hAnsi="Times New Roman" w:cs="Times New Roman"/>
          <w:color w:val="auto"/>
        </w:rPr>
        <w:t xml:space="preserve">novos processos comunicacionais, o que pode ser identificado em suas expressões culturais (eventos, cosplay, etc.) e seus hábitos de consumo durante o ato de jogar (microtransações </w:t>
      </w:r>
      <w:r w:rsidRPr="00C7523D">
        <w:rPr>
          <w:rFonts w:ascii="Times New Roman" w:hAnsi="Times New Roman" w:cs="Times New Roman"/>
          <w:i/>
          <w:color w:val="auto"/>
        </w:rPr>
        <w:t>online</w:t>
      </w:r>
      <w:r w:rsidRPr="00C7523D">
        <w:rPr>
          <w:rFonts w:ascii="Times New Roman" w:hAnsi="Times New Roman" w:cs="Times New Roman"/>
          <w:color w:val="auto"/>
        </w:rPr>
        <w:t>)</w:t>
      </w:r>
      <w:r w:rsidR="005E2106">
        <w:rPr>
          <w:rFonts w:ascii="Times New Roman" w:hAnsi="Times New Roman" w:cs="Times New Roman"/>
          <w:color w:val="auto"/>
        </w:rPr>
        <w:t xml:space="preserve"> (VARGAS; ZILLES BORBA, 2019)</w:t>
      </w:r>
      <w:r w:rsidRPr="00C7523D">
        <w:rPr>
          <w:rFonts w:ascii="Times New Roman" w:hAnsi="Times New Roman" w:cs="Times New Roman"/>
          <w:color w:val="auto"/>
        </w:rPr>
        <w:t>.</w:t>
      </w:r>
    </w:p>
    <w:p w14:paraId="7F127745" w14:textId="129C17D1" w:rsidR="0058620A" w:rsidRPr="00C7523D" w:rsidRDefault="002E35C3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U</w:t>
      </w:r>
      <w:r w:rsidR="008C6DC4" w:rsidRPr="00C7523D">
        <w:rPr>
          <w:rFonts w:ascii="Times New Roman" w:hAnsi="Times New Roman" w:cs="Times New Roman"/>
          <w:color w:val="auto"/>
        </w:rPr>
        <w:t xml:space="preserve">ma das pautas em voga na cultura </w:t>
      </w:r>
      <w:r w:rsidR="008C6DC4" w:rsidRPr="00C7523D">
        <w:rPr>
          <w:rFonts w:ascii="Times New Roman" w:hAnsi="Times New Roman" w:cs="Times New Roman"/>
          <w:i/>
          <w:color w:val="auto"/>
        </w:rPr>
        <w:t>gamer</w:t>
      </w:r>
      <w:r w:rsidR="008C6DC4" w:rsidRPr="00C7523D">
        <w:rPr>
          <w:rFonts w:ascii="Times New Roman" w:hAnsi="Times New Roman" w:cs="Times New Roman"/>
          <w:color w:val="auto"/>
        </w:rPr>
        <w:t xml:space="preserve"> é</w:t>
      </w:r>
      <w:r>
        <w:rPr>
          <w:rFonts w:ascii="Times New Roman" w:hAnsi="Times New Roman" w:cs="Times New Roman"/>
          <w:color w:val="auto"/>
        </w:rPr>
        <w:t>, exatamente, este</w:t>
      </w:r>
      <w:r w:rsidR="008C6DC4" w:rsidRPr="00C7523D">
        <w:rPr>
          <w:rFonts w:ascii="Times New Roman" w:hAnsi="Times New Roman" w:cs="Times New Roman"/>
          <w:color w:val="auto"/>
        </w:rPr>
        <w:t xml:space="preserve"> hábito de realizar compras durante a experiência do jogar. Estas microtransações podem ser realizadas a partir de diversos formatos, pois jogadores adquirem tanto ativos cosméticos (que alteram a estética de seus avatares) quanto ativos funcionais (que modificam a experiência com o produto). Há, ainda, as chamadas</w:t>
      </w:r>
      <w:r w:rsidR="008C6DC4" w:rsidRPr="00C752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8C6DC4"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="008C6DC4" w:rsidRPr="00C7523D">
        <w:rPr>
          <w:rFonts w:ascii="Times New Roman" w:hAnsi="Times New Roman" w:cs="Times New Roman"/>
          <w:i/>
          <w:color w:val="auto"/>
        </w:rPr>
        <w:t xml:space="preserve"> boxes</w:t>
      </w:r>
      <w:r w:rsidR="008C6DC4" w:rsidRPr="00C7523D">
        <w:rPr>
          <w:rFonts w:ascii="Times New Roman" w:eastAsia="Arial" w:hAnsi="Times New Roman" w:cs="Times New Roman"/>
          <w:i/>
          <w:color w:val="auto"/>
          <w:vertAlign w:val="superscript"/>
        </w:rPr>
        <w:footnoteReference w:id="5"/>
      </w:r>
      <w:r w:rsidR="008C6DC4" w:rsidRPr="00C7523D">
        <w:rPr>
          <w:rFonts w:ascii="Times New Roman" w:hAnsi="Times New Roman" w:cs="Times New Roman"/>
          <w:color w:val="auto"/>
        </w:rPr>
        <w:t>, nas quais há o estímulo para adquirir ativos aleatórios, sem saber ao certo o que se vai obter, sendo a sorte e probabilidade os fatores relevantes</w:t>
      </w:r>
      <w:r w:rsidR="008C6DC4" w:rsidRPr="00C7523D">
        <w:rPr>
          <w:rFonts w:ascii="Times New Roman" w:hAnsi="Times New Roman" w:cs="Times New Roman"/>
          <w:i/>
          <w:color w:val="auto"/>
        </w:rPr>
        <w:t xml:space="preserve"> </w:t>
      </w:r>
      <w:r w:rsidR="008C6DC4" w:rsidRPr="00C7523D">
        <w:rPr>
          <w:rFonts w:ascii="Times New Roman" w:hAnsi="Times New Roman" w:cs="Times New Roman"/>
          <w:color w:val="auto"/>
        </w:rPr>
        <w:t>(THORSTEINSSON; JULIUSSON, 2017)</w:t>
      </w:r>
      <w:r w:rsidR="005E2106">
        <w:rPr>
          <w:rFonts w:ascii="Times New Roman" w:hAnsi="Times New Roman" w:cs="Times New Roman"/>
          <w:i/>
          <w:color w:val="auto"/>
        </w:rPr>
        <w:t>.</w:t>
      </w:r>
    </w:p>
    <w:p w14:paraId="628CA875" w14:textId="0871DDCA" w:rsidR="0058620A" w:rsidRPr="00C7523D" w:rsidRDefault="0058620A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7523D">
        <w:rPr>
          <w:rFonts w:ascii="Times New Roman" w:hAnsi="Times New Roman" w:cs="Times New Roman"/>
          <w:color w:val="auto"/>
        </w:rPr>
        <w:t xml:space="preserve">De fato, </w:t>
      </w:r>
      <w:proofErr w:type="spellStart"/>
      <w:r w:rsidRPr="00C7523D">
        <w:rPr>
          <w:rFonts w:ascii="Times New Roman" w:hAnsi="Times New Roman" w:cs="Times New Roman"/>
          <w:color w:val="auto"/>
        </w:rPr>
        <w:t>Mazurek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C7523D">
        <w:rPr>
          <w:rFonts w:ascii="Times New Roman" w:hAnsi="Times New Roman" w:cs="Times New Roman"/>
          <w:color w:val="auto"/>
        </w:rPr>
        <w:t>Polivanoc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(2012) sublinham que tanto as discussões quanto o próprio conceito de microtransações é algo recente. Na comunidade </w:t>
      </w:r>
      <w:r w:rsidRPr="00C7523D">
        <w:rPr>
          <w:rFonts w:ascii="Times New Roman" w:hAnsi="Times New Roman" w:cs="Times New Roman"/>
          <w:i/>
          <w:color w:val="auto"/>
        </w:rPr>
        <w:t xml:space="preserve">gamer </w:t>
      </w:r>
      <w:r w:rsidRPr="00C7523D">
        <w:rPr>
          <w:rFonts w:ascii="Times New Roman" w:hAnsi="Times New Roman" w:cs="Times New Roman"/>
          <w:color w:val="auto"/>
        </w:rPr>
        <w:t xml:space="preserve">este é um assunto polêmico, sendo frequentemente tema de conversas em redes sociais </w:t>
      </w:r>
      <w:r w:rsidRPr="00C7523D">
        <w:rPr>
          <w:rFonts w:ascii="Times New Roman" w:hAnsi="Times New Roman" w:cs="Times New Roman"/>
          <w:i/>
          <w:color w:val="auto"/>
        </w:rPr>
        <w:t xml:space="preserve">online </w:t>
      </w:r>
      <w:r w:rsidRPr="00C7523D">
        <w:rPr>
          <w:rFonts w:ascii="Times New Roman" w:hAnsi="Times New Roman" w:cs="Times New Roman"/>
          <w:color w:val="auto"/>
        </w:rPr>
        <w:t xml:space="preserve">e fóruns de discussão, visto que grande parte dos novos jogos eletrônicos contêm algum tipo de estímulo a transações comerciais </w:t>
      </w:r>
      <w:r w:rsidRPr="00C7523D">
        <w:rPr>
          <w:rFonts w:ascii="Times New Roman" w:hAnsi="Times New Roman" w:cs="Times New Roman"/>
          <w:i/>
          <w:color w:val="auto"/>
        </w:rPr>
        <w:t>online</w:t>
      </w:r>
      <w:r w:rsidRPr="00C7523D">
        <w:rPr>
          <w:rFonts w:ascii="Times New Roman" w:hAnsi="Times New Roman" w:cs="Times New Roman"/>
          <w:color w:val="auto"/>
        </w:rPr>
        <w:t xml:space="preserve"> deste tipo. Para Gonçalves e Gonçalves (2018)</w:t>
      </w:r>
      <w:r w:rsidR="00E430AE">
        <w:rPr>
          <w:rFonts w:ascii="Times New Roman" w:hAnsi="Times New Roman" w:cs="Times New Roman"/>
          <w:color w:val="auto"/>
        </w:rPr>
        <w:t>,</w:t>
      </w:r>
      <w:r w:rsidRPr="00C7523D">
        <w:rPr>
          <w:rFonts w:ascii="Times New Roman" w:hAnsi="Times New Roman" w:cs="Times New Roman"/>
          <w:color w:val="auto"/>
        </w:rPr>
        <w:t xml:space="preserve"> as microtransações em jogos digitais podem ser classificadas em três </w:t>
      </w:r>
      <w:r w:rsidR="00E430AE">
        <w:rPr>
          <w:rFonts w:ascii="Times New Roman" w:hAnsi="Times New Roman" w:cs="Times New Roman"/>
          <w:color w:val="auto"/>
        </w:rPr>
        <w:t>tipos</w:t>
      </w:r>
      <w:r w:rsidRPr="00C7523D">
        <w:rPr>
          <w:rFonts w:ascii="Times New Roman" w:hAnsi="Times New Roman" w:cs="Times New Roman"/>
          <w:color w:val="auto"/>
        </w:rPr>
        <w:t xml:space="preserve">: bens virtuais; expansões ou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downloadable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content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(DLC); e</w:t>
      </w:r>
      <w:r w:rsidR="00E430A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 boxes. </w:t>
      </w:r>
      <w:r w:rsidR="00E430AE">
        <w:rPr>
          <w:rFonts w:ascii="Times New Roman" w:hAnsi="Times New Roman" w:cs="Times New Roman"/>
          <w:color w:val="auto"/>
        </w:rPr>
        <w:t>É</w:t>
      </w:r>
      <w:r w:rsidRPr="00C7523D">
        <w:rPr>
          <w:rFonts w:ascii="Times New Roman" w:hAnsi="Times New Roman" w:cs="Times New Roman"/>
          <w:color w:val="auto"/>
        </w:rPr>
        <w:t xml:space="preserve"> sublinha</w:t>
      </w:r>
      <w:r w:rsidR="00E430AE">
        <w:rPr>
          <w:rFonts w:ascii="Times New Roman" w:hAnsi="Times New Roman" w:cs="Times New Roman"/>
          <w:color w:val="auto"/>
        </w:rPr>
        <w:t>do</w:t>
      </w:r>
      <w:r w:rsidRPr="00C7523D">
        <w:rPr>
          <w:rFonts w:ascii="Times New Roman" w:hAnsi="Times New Roman" w:cs="Times New Roman"/>
          <w:color w:val="auto"/>
        </w:rPr>
        <w:t xml:space="preserve"> que, embora estas classificações não sejam auto excludentes, elas são úteis para traçar um panorama das práticas de microtransações no universo dos </w:t>
      </w:r>
      <w:r w:rsidRPr="00C7523D">
        <w:rPr>
          <w:rFonts w:ascii="Times New Roman" w:hAnsi="Times New Roman" w:cs="Times New Roman"/>
          <w:i/>
          <w:color w:val="auto"/>
        </w:rPr>
        <w:t xml:space="preserve">games </w:t>
      </w:r>
      <w:r w:rsidRPr="00C7523D">
        <w:rPr>
          <w:rFonts w:ascii="Times New Roman" w:hAnsi="Times New Roman" w:cs="Times New Roman"/>
          <w:color w:val="auto"/>
        </w:rPr>
        <w:t>e, com isso, refletir sobre seu papel no processo comunicacional entre jogador e jogo.</w:t>
      </w:r>
    </w:p>
    <w:p w14:paraId="703D567F" w14:textId="7584C7E0" w:rsidR="0058620A" w:rsidRPr="00C7523D" w:rsidRDefault="00D71548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58620A" w:rsidRPr="00C7523D">
        <w:rPr>
          <w:rFonts w:ascii="Times New Roman" w:hAnsi="Times New Roman" w:cs="Times New Roman"/>
          <w:color w:val="auto"/>
        </w:rPr>
        <w:t xml:space="preserve">ens virtuais são objetos não-tangíveis utilizados dentro do jogo. </w:t>
      </w:r>
      <w:proofErr w:type="spellStart"/>
      <w:r w:rsidR="0058620A" w:rsidRPr="00C7523D">
        <w:rPr>
          <w:rFonts w:ascii="Times New Roman" w:hAnsi="Times New Roman" w:cs="Times New Roman"/>
          <w:color w:val="auto"/>
        </w:rPr>
        <w:t>Mazurek</w:t>
      </w:r>
      <w:proofErr w:type="spellEnd"/>
      <w:r w:rsidR="0058620A" w:rsidRPr="00C7523D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58620A" w:rsidRPr="00C7523D">
        <w:rPr>
          <w:rFonts w:ascii="Times New Roman" w:hAnsi="Times New Roman" w:cs="Times New Roman"/>
          <w:color w:val="auto"/>
        </w:rPr>
        <w:t>Polivanov</w:t>
      </w:r>
      <w:proofErr w:type="spellEnd"/>
      <w:r w:rsidR="0058620A" w:rsidRPr="00C7523D">
        <w:rPr>
          <w:rFonts w:ascii="Times New Roman" w:hAnsi="Times New Roman" w:cs="Times New Roman"/>
          <w:color w:val="auto"/>
        </w:rPr>
        <w:t xml:space="preserve"> (2012) sugerem que estejam divididos em duas categorias: cosméticos e funcionais. Os bens virtuais cosméticos podem ser vistos nos exemplos de </w:t>
      </w:r>
      <w:proofErr w:type="spellStart"/>
      <w:r w:rsidR="0058620A" w:rsidRPr="00C7523D">
        <w:rPr>
          <w:rFonts w:ascii="Times New Roman" w:hAnsi="Times New Roman" w:cs="Times New Roman"/>
          <w:i/>
          <w:color w:val="auto"/>
        </w:rPr>
        <w:t>skins</w:t>
      </w:r>
      <w:proofErr w:type="spellEnd"/>
      <w:r w:rsidR="0058620A" w:rsidRPr="00C7523D">
        <w:rPr>
          <w:rFonts w:ascii="Times New Roman" w:eastAsia="Arial" w:hAnsi="Times New Roman" w:cs="Times New Roman"/>
          <w:i/>
          <w:color w:val="auto"/>
          <w:vertAlign w:val="superscript"/>
        </w:rPr>
        <w:footnoteReference w:id="6"/>
      </w:r>
      <w:r w:rsidR="0058620A" w:rsidRPr="00C7523D">
        <w:rPr>
          <w:rFonts w:ascii="Times New Roman" w:hAnsi="Times New Roman" w:cs="Times New Roman"/>
          <w:i/>
          <w:color w:val="auto"/>
        </w:rPr>
        <w:t xml:space="preserve">, </w:t>
      </w:r>
      <w:r w:rsidR="0058620A" w:rsidRPr="00C7523D">
        <w:rPr>
          <w:rFonts w:ascii="Times New Roman" w:hAnsi="Times New Roman" w:cs="Times New Roman"/>
          <w:color w:val="auto"/>
        </w:rPr>
        <w:t xml:space="preserve">quando atuam como elementos plásticos que alteram o visual de personagens, objetos, roupas, padrões de cores ou temas de interface. Eles não afetam a jogabilidade e funcionalidade do </w:t>
      </w:r>
      <w:r w:rsidR="0058620A" w:rsidRPr="00C7523D">
        <w:rPr>
          <w:rFonts w:ascii="Times New Roman" w:hAnsi="Times New Roman" w:cs="Times New Roman"/>
          <w:i/>
          <w:color w:val="auto"/>
        </w:rPr>
        <w:t xml:space="preserve">game, </w:t>
      </w:r>
      <w:r w:rsidR="0058620A" w:rsidRPr="00C7523D">
        <w:rPr>
          <w:rFonts w:ascii="Times New Roman" w:hAnsi="Times New Roman" w:cs="Times New Roman"/>
          <w:color w:val="auto"/>
        </w:rPr>
        <w:t>sendo apenas elementos superficiais que dão uma identidade para a construção da imagem dos personagens. Por sua vez, bens virtuais funcionais afetam o desempenho das experiências por meio de melhoramentos de habilidades e/ou performance</w:t>
      </w:r>
      <w:r>
        <w:rPr>
          <w:rFonts w:ascii="Times New Roman" w:hAnsi="Times New Roman" w:cs="Times New Roman"/>
          <w:color w:val="auto"/>
        </w:rPr>
        <w:t>s</w:t>
      </w:r>
      <w:r w:rsidR="0058620A" w:rsidRPr="00C7523D">
        <w:rPr>
          <w:rFonts w:ascii="Times New Roman" w:hAnsi="Times New Roman" w:cs="Times New Roman"/>
          <w:color w:val="auto"/>
        </w:rPr>
        <w:t xml:space="preserve"> dos avatares. </w:t>
      </w:r>
      <w:r w:rsidR="0058620A" w:rsidRPr="00C7523D">
        <w:rPr>
          <w:rFonts w:ascii="Times New Roman" w:hAnsi="Times New Roman" w:cs="Times New Roman"/>
          <w:color w:val="auto"/>
        </w:rPr>
        <w:lastRenderedPageBreak/>
        <w:t xml:space="preserve">Isto é, ao mesmo tempo que ele possa melhorar a performance de um jogador e, com isso, incentivar os demais jogadores a também adquirirem este bem virtual; ele pode gerar um impacto negativo para o título e a empresa desenvolvedora, justamente, pelo fato de que muitas pessoas não podem gastar mais verbas para além da própria aquisição do jogo e, desta forma, sentem-se em desvantagem quando enfrentam jogadores que possuem condições de investir mais dinheiro no </w:t>
      </w:r>
      <w:r w:rsidR="0058620A" w:rsidRPr="00C7523D">
        <w:rPr>
          <w:rFonts w:ascii="Times New Roman" w:hAnsi="Times New Roman" w:cs="Times New Roman"/>
          <w:i/>
          <w:color w:val="auto"/>
        </w:rPr>
        <w:t>game</w:t>
      </w:r>
      <w:r w:rsidR="0058620A" w:rsidRPr="00C7523D">
        <w:rPr>
          <w:rFonts w:ascii="Times New Roman" w:hAnsi="Times New Roman" w:cs="Times New Roman"/>
          <w:color w:val="auto"/>
        </w:rPr>
        <w:t xml:space="preserve">. </w:t>
      </w:r>
    </w:p>
    <w:p w14:paraId="40F941A5" w14:textId="34FF3924" w:rsidR="0058620A" w:rsidRPr="00C7523D" w:rsidRDefault="0058620A" w:rsidP="00C752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7523D">
        <w:rPr>
          <w:rFonts w:ascii="Times New Roman" w:hAnsi="Times New Roman" w:cs="Times New Roman"/>
          <w:color w:val="auto"/>
        </w:rPr>
        <w:t>Já a expansão ou DLC indica a possibilidade de expandir espaços</w:t>
      </w:r>
      <w:r w:rsidR="00D71548">
        <w:rPr>
          <w:rFonts w:ascii="Times New Roman" w:hAnsi="Times New Roman" w:cs="Times New Roman"/>
          <w:color w:val="auto"/>
        </w:rPr>
        <w:t xml:space="preserve"> </w:t>
      </w:r>
      <w:r w:rsidRPr="00C7523D">
        <w:rPr>
          <w:rFonts w:ascii="Times New Roman" w:hAnsi="Times New Roman" w:cs="Times New Roman"/>
          <w:color w:val="auto"/>
        </w:rPr>
        <w:t xml:space="preserve">e territórios dos </w:t>
      </w:r>
      <w:r w:rsidRPr="00C7523D">
        <w:rPr>
          <w:rFonts w:ascii="Times New Roman" w:hAnsi="Times New Roman" w:cs="Times New Roman"/>
          <w:i/>
          <w:color w:val="auto"/>
        </w:rPr>
        <w:t>games.</w:t>
      </w:r>
      <w:r w:rsidRPr="00C7523D">
        <w:rPr>
          <w:rFonts w:ascii="Times New Roman" w:hAnsi="Times New Roman" w:cs="Times New Roman"/>
          <w:color w:val="auto"/>
        </w:rPr>
        <w:t xml:space="preserve"> Por exemplo, comprar e instalar novos cenários que façam uma expansão dos territórios de interação do </w:t>
      </w:r>
      <w:r w:rsidRPr="00C7523D">
        <w:rPr>
          <w:rFonts w:ascii="Times New Roman" w:hAnsi="Times New Roman" w:cs="Times New Roman"/>
          <w:i/>
          <w:color w:val="auto"/>
        </w:rPr>
        <w:t xml:space="preserve">game. </w:t>
      </w:r>
      <w:r w:rsidR="00D71548">
        <w:rPr>
          <w:rFonts w:ascii="Times New Roman" w:hAnsi="Times New Roman" w:cs="Times New Roman"/>
          <w:color w:val="auto"/>
        </w:rPr>
        <w:t>E</w:t>
      </w:r>
      <w:r w:rsidRPr="00C7523D">
        <w:rPr>
          <w:rFonts w:ascii="Times New Roman" w:hAnsi="Times New Roman" w:cs="Times New Roman"/>
          <w:color w:val="auto"/>
        </w:rPr>
        <w:t>sta prática se tornou comum</w:t>
      </w:r>
      <w:r w:rsidR="00D71548">
        <w:rPr>
          <w:rFonts w:ascii="Times New Roman" w:hAnsi="Times New Roman" w:cs="Times New Roman"/>
          <w:color w:val="auto"/>
        </w:rPr>
        <w:t>, especialmente entre as empresas detentoras de títulos conhecidos comprados globalmente</w:t>
      </w:r>
      <w:r w:rsidRPr="00C7523D">
        <w:rPr>
          <w:rFonts w:ascii="Times New Roman" w:hAnsi="Times New Roman" w:cs="Times New Roman"/>
          <w:color w:val="auto"/>
        </w:rPr>
        <w:t xml:space="preserve">, sendo uma ação que normalmente está vinculada aos períodos de pós-lançamento dos </w:t>
      </w:r>
      <w:r w:rsidR="00D71548">
        <w:rPr>
          <w:rFonts w:ascii="Times New Roman" w:hAnsi="Times New Roman" w:cs="Times New Roman"/>
          <w:color w:val="auto"/>
        </w:rPr>
        <w:t>jogos</w:t>
      </w:r>
      <w:r w:rsidRPr="00C7523D">
        <w:rPr>
          <w:rFonts w:ascii="Times New Roman" w:hAnsi="Times New Roman" w:cs="Times New Roman"/>
          <w:color w:val="auto"/>
        </w:rPr>
        <w:t xml:space="preserve">. Gonçalves e Gonçalves (2018) ou Nogueira (2016) explicam que este conteúdo pode ser adquirido de forma paga (microtransações) ou gratuita (jogando e abrindo novos níveis). </w:t>
      </w:r>
      <w:r w:rsidR="00D71548">
        <w:rPr>
          <w:rFonts w:ascii="Times New Roman" w:hAnsi="Times New Roman" w:cs="Times New Roman"/>
          <w:color w:val="auto"/>
        </w:rPr>
        <w:t>U</w:t>
      </w:r>
      <w:r w:rsidRPr="00C7523D">
        <w:rPr>
          <w:rFonts w:ascii="Times New Roman" w:hAnsi="Times New Roman" w:cs="Times New Roman"/>
          <w:color w:val="auto"/>
        </w:rPr>
        <w:t xml:space="preserve">ma grande expansão de cenários pode equivaler a um novo jogo, como é o caso do pacote de DLC do </w:t>
      </w:r>
      <w:r w:rsidRPr="00C7523D">
        <w:rPr>
          <w:rFonts w:ascii="Times New Roman" w:hAnsi="Times New Roman" w:cs="Times New Roman"/>
          <w:i/>
          <w:color w:val="auto"/>
        </w:rPr>
        <w:t xml:space="preserve">game </w:t>
      </w:r>
      <w:proofErr w:type="spellStart"/>
      <w:r w:rsidRPr="00C7523D">
        <w:rPr>
          <w:rFonts w:ascii="Times New Roman" w:hAnsi="Times New Roman" w:cs="Times New Roman"/>
          <w:color w:val="auto"/>
        </w:rPr>
        <w:t>Witcher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3: Wild Hunt - </w:t>
      </w:r>
      <w:proofErr w:type="spellStart"/>
      <w:r w:rsidRPr="00C7523D">
        <w:rPr>
          <w:rFonts w:ascii="Times New Roman" w:hAnsi="Times New Roman" w:cs="Times New Roman"/>
          <w:color w:val="auto"/>
        </w:rPr>
        <w:t>Blood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523D">
        <w:rPr>
          <w:rFonts w:ascii="Times New Roman" w:hAnsi="Times New Roman" w:cs="Times New Roman"/>
          <w:color w:val="auto"/>
        </w:rPr>
        <w:t>and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523D">
        <w:rPr>
          <w:rFonts w:ascii="Times New Roman" w:hAnsi="Times New Roman" w:cs="Times New Roman"/>
          <w:color w:val="auto"/>
        </w:rPr>
        <w:t>Wine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(2016) para ser integrado </w:t>
      </w:r>
      <w:r w:rsidR="00014BC7">
        <w:rPr>
          <w:rFonts w:ascii="Times New Roman" w:hAnsi="Times New Roman" w:cs="Times New Roman"/>
          <w:color w:val="auto"/>
        </w:rPr>
        <w:t>na versão anterior</w:t>
      </w:r>
      <w:r w:rsidRPr="00C7523D">
        <w:rPr>
          <w:rFonts w:ascii="Times New Roman" w:hAnsi="Times New Roman" w:cs="Times New Roman"/>
          <w:color w:val="auto"/>
        </w:rPr>
        <w:t>.</w:t>
      </w:r>
    </w:p>
    <w:p w14:paraId="5C6FF2FA" w14:textId="6C6405E4" w:rsidR="00F56BDA" w:rsidRDefault="0058620A" w:rsidP="00D71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7523D">
        <w:rPr>
          <w:rFonts w:ascii="Times New Roman" w:hAnsi="Times New Roman" w:cs="Times New Roman"/>
          <w:color w:val="auto"/>
        </w:rPr>
        <w:t xml:space="preserve">No último exemplo de microtransações em </w:t>
      </w:r>
      <w:r w:rsidRPr="00C7523D">
        <w:rPr>
          <w:rFonts w:ascii="Times New Roman" w:hAnsi="Times New Roman" w:cs="Times New Roman"/>
          <w:i/>
          <w:iCs/>
          <w:color w:val="auto"/>
        </w:rPr>
        <w:t>games</w:t>
      </w:r>
      <w:r w:rsidRPr="00C7523D">
        <w:rPr>
          <w:rFonts w:ascii="Times New Roman" w:hAnsi="Times New Roman" w:cs="Times New Roman"/>
          <w:color w:val="auto"/>
        </w:rPr>
        <w:t xml:space="preserve"> temos as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 boxes. </w:t>
      </w:r>
      <w:r w:rsidRPr="00C7523D">
        <w:rPr>
          <w:rFonts w:ascii="Times New Roman" w:hAnsi="Times New Roman" w:cs="Times New Roman"/>
          <w:color w:val="auto"/>
        </w:rPr>
        <w:t xml:space="preserve">O termo vem da junção de duas palavras da língua inglesa: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, </w:t>
      </w:r>
      <w:r w:rsidRPr="00C7523D">
        <w:rPr>
          <w:rFonts w:ascii="Times New Roman" w:hAnsi="Times New Roman" w:cs="Times New Roman"/>
          <w:color w:val="auto"/>
        </w:rPr>
        <w:t>para indicar</w:t>
      </w:r>
      <w:r w:rsidRPr="00C7523D">
        <w:rPr>
          <w:rFonts w:ascii="Times New Roman" w:hAnsi="Times New Roman" w:cs="Times New Roman"/>
          <w:i/>
          <w:color w:val="auto"/>
        </w:rPr>
        <w:t xml:space="preserve"> </w:t>
      </w:r>
      <w:r w:rsidRPr="00C7523D">
        <w:rPr>
          <w:rFonts w:ascii="Times New Roman" w:hAnsi="Times New Roman" w:cs="Times New Roman"/>
          <w:color w:val="auto"/>
        </w:rPr>
        <w:t xml:space="preserve">saque; e </w:t>
      </w:r>
      <w:r w:rsidRPr="00C7523D">
        <w:rPr>
          <w:rFonts w:ascii="Times New Roman" w:hAnsi="Times New Roman" w:cs="Times New Roman"/>
          <w:i/>
          <w:color w:val="auto"/>
        </w:rPr>
        <w:t xml:space="preserve">boxes, </w:t>
      </w:r>
      <w:r w:rsidRPr="00C7523D">
        <w:rPr>
          <w:rFonts w:ascii="Times New Roman" w:hAnsi="Times New Roman" w:cs="Times New Roman"/>
          <w:color w:val="auto"/>
        </w:rPr>
        <w:t>que significa caixas e, quando abertas, o jogador tem acesso a uma recompensa (um bem virtual, normalmente). Porém, assim como uma embalagem</w:t>
      </w:r>
      <w:r w:rsidR="00D71548">
        <w:rPr>
          <w:rFonts w:ascii="Times New Roman" w:hAnsi="Times New Roman" w:cs="Times New Roman"/>
          <w:color w:val="auto"/>
        </w:rPr>
        <w:t>-</w:t>
      </w:r>
      <w:r w:rsidRPr="00C7523D">
        <w:rPr>
          <w:rFonts w:ascii="Times New Roman" w:hAnsi="Times New Roman" w:cs="Times New Roman"/>
          <w:color w:val="auto"/>
        </w:rPr>
        <w:t xml:space="preserve">surpresa, as recompensas contidas nesta caixa são geradas aleatoriamente. Isto é, não há como saber exatamente o que se vai ganhar. Jogos como </w:t>
      </w:r>
      <w:proofErr w:type="spellStart"/>
      <w:r w:rsidRPr="00C7523D">
        <w:rPr>
          <w:rFonts w:ascii="Times New Roman" w:hAnsi="Times New Roman" w:cs="Times New Roman"/>
          <w:color w:val="auto"/>
        </w:rPr>
        <w:t>Overwatch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(2016), no qual o jogador assume o papel de heróis futuristas e batalha em times, usam essa mecânica como forma de recompensar o jogador e mantê-lo envolvido por mais tempo. </w:t>
      </w:r>
      <w:r w:rsidR="00D71548">
        <w:rPr>
          <w:rFonts w:ascii="Times New Roman" w:hAnsi="Times New Roman" w:cs="Times New Roman"/>
          <w:color w:val="auto"/>
        </w:rPr>
        <w:t xml:space="preserve">Porém, </w:t>
      </w:r>
      <w:r w:rsidRPr="00C7523D">
        <w:rPr>
          <w:rFonts w:ascii="Times New Roman" w:hAnsi="Times New Roman" w:cs="Times New Roman"/>
          <w:color w:val="auto"/>
        </w:rPr>
        <w:t xml:space="preserve">o jogo Star Wars </w:t>
      </w:r>
      <w:proofErr w:type="spellStart"/>
      <w:r w:rsidRPr="00C7523D">
        <w:rPr>
          <w:rFonts w:ascii="Times New Roman" w:hAnsi="Times New Roman" w:cs="Times New Roman"/>
          <w:color w:val="auto"/>
        </w:rPr>
        <w:t>Battlefront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2</w:t>
      </w:r>
      <w:r w:rsidR="00D71548">
        <w:rPr>
          <w:rFonts w:ascii="Times New Roman" w:hAnsi="Times New Roman" w:cs="Times New Roman"/>
          <w:color w:val="auto"/>
        </w:rPr>
        <w:t>,</w:t>
      </w:r>
      <w:r w:rsidRPr="00C7523D">
        <w:rPr>
          <w:rFonts w:ascii="Times New Roman" w:hAnsi="Times New Roman" w:cs="Times New Roman"/>
          <w:color w:val="auto"/>
        </w:rPr>
        <w:t xml:space="preserve"> também possui </w:t>
      </w:r>
      <w:r w:rsidR="00D71548">
        <w:rPr>
          <w:rFonts w:ascii="Times New Roman" w:hAnsi="Times New Roman" w:cs="Times New Roman"/>
          <w:color w:val="auto"/>
        </w:rPr>
        <w:t xml:space="preserve">um </w:t>
      </w:r>
      <w:r w:rsidRPr="00C7523D">
        <w:rPr>
          <w:rFonts w:ascii="Times New Roman" w:hAnsi="Times New Roman" w:cs="Times New Roman"/>
          <w:color w:val="auto"/>
        </w:rPr>
        <w:t xml:space="preserve">sistema de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 boxes</w:t>
      </w:r>
      <w:r w:rsidR="00D71548">
        <w:rPr>
          <w:rFonts w:ascii="Times New Roman" w:hAnsi="Times New Roman" w:cs="Times New Roman"/>
          <w:color w:val="auto"/>
        </w:rPr>
        <w:t xml:space="preserve"> que, por outro lado, não foi bem recebido pelos jogadores. S</w:t>
      </w:r>
      <w:r w:rsidRPr="00C7523D">
        <w:rPr>
          <w:rFonts w:ascii="Times New Roman" w:hAnsi="Times New Roman" w:cs="Times New Roman"/>
          <w:color w:val="auto"/>
        </w:rPr>
        <w:t xml:space="preserve">egundo </w:t>
      </w:r>
      <w:proofErr w:type="spellStart"/>
      <w:r w:rsidRPr="00C7523D">
        <w:rPr>
          <w:rFonts w:ascii="Times New Roman" w:hAnsi="Times New Roman" w:cs="Times New Roman"/>
          <w:color w:val="auto"/>
        </w:rPr>
        <w:t>Thorsteinsson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C7523D">
        <w:rPr>
          <w:rFonts w:ascii="Times New Roman" w:hAnsi="Times New Roman" w:cs="Times New Roman"/>
          <w:color w:val="auto"/>
        </w:rPr>
        <w:t>Juliusson</w:t>
      </w:r>
      <w:proofErr w:type="spellEnd"/>
      <w:r w:rsidRPr="00C7523D">
        <w:rPr>
          <w:rFonts w:ascii="Times New Roman" w:hAnsi="Times New Roman" w:cs="Times New Roman"/>
          <w:color w:val="auto"/>
        </w:rPr>
        <w:t xml:space="preserve"> (2017)</w:t>
      </w:r>
      <w:r w:rsidR="00D71548">
        <w:rPr>
          <w:rFonts w:ascii="Times New Roman" w:hAnsi="Times New Roman" w:cs="Times New Roman"/>
          <w:color w:val="auto"/>
        </w:rPr>
        <w:t xml:space="preserve"> isso se deve ao </w:t>
      </w:r>
      <w:r w:rsidRPr="00C7523D">
        <w:rPr>
          <w:rFonts w:ascii="Times New Roman" w:hAnsi="Times New Roman" w:cs="Times New Roman"/>
          <w:color w:val="auto"/>
        </w:rPr>
        <w:t xml:space="preserve">fato </w:t>
      </w:r>
      <w:r w:rsidR="00D71548">
        <w:rPr>
          <w:rFonts w:ascii="Times New Roman" w:hAnsi="Times New Roman" w:cs="Times New Roman"/>
          <w:color w:val="auto"/>
        </w:rPr>
        <w:t>d</w:t>
      </w:r>
      <w:r w:rsidRPr="00C7523D">
        <w:rPr>
          <w:rFonts w:ascii="Times New Roman" w:hAnsi="Times New Roman" w:cs="Times New Roman"/>
          <w:color w:val="auto"/>
        </w:rPr>
        <w:t>o primeiro</w:t>
      </w:r>
      <w:r w:rsidR="00D71548">
        <w:rPr>
          <w:rFonts w:ascii="Times New Roman" w:hAnsi="Times New Roman" w:cs="Times New Roman"/>
          <w:color w:val="auto"/>
        </w:rPr>
        <w:t xml:space="preserve"> exemplo</w:t>
      </w:r>
      <w:r w:rsidRPr="00C7523D">
        <w:rPr>
          <w:rFonts w:ascii="Times New Roman" w:hAnsi="Times New Roman" w:cs="Times New Roman"/>
          <w:color w:val="auto"/>
        </w:rPr>
        <w:t xml:space="preserve"> possui</w:t>
      </w:r>
      <w:r w:rsidR="00D71548">
        <w:rPr>
          <w:rFonts w:ascii="Times New Roman" w:hAnsi="Times New Roman" w:cs="Times New Roman"/>
          <w:color w:val="auto"/>
        </w:rPr>
        <w:t>r</w:t>
      </w:r>
      <w:r w:rsidRPr="00C7523D">
        <w:rPr>
          <w:rFonts w:ascii="Times New Roman" w:hAnsi="Times New Roman" w:cs="Times New Roman"/>
          <w:color w:val="auto"/>
        </w:rPr>
        <w:t xml:space="preserve"> apenas bens virtuais </w:t>
      </w:r>
      <w:r w:rsidR="00D71548">
        <w:rPr>
          <w:rFonts w:ascii="Times New Roman" w:hAnsi="Times New Roman" w:cs="Times New Roman"/>
          <w:color w:val="auto"/>
        </w:rPr>
        <w:t>cosméticos</w:t>
      </w:r>
      <w:r w:rsidRPr="00C7523D">
        <w:rPr>
          <w:rFonts w:ascii="Times New Roman" w:hAnsi="Times New Roman" w:cs="Times New Roman"/>
          <w:color w:val="auto"/>
        </w:rPr>
        <w:t>, enquanto o segundo faz adição de bens virtuais funcionais que alteram a jogabilidade, criando uma necessidade de obtenção d</w:t>
      </w:r>
      <w:r w:rsidR="00D71548">
        <w:rPr>
          <w:rFonts w:ascii="Times New Roman" w:hAnsi="Times New Roman" w:cs="Times New Roman"/>
          <w:color w:val="auto"/>
        </w:rPr>
        <w:t>e</w:t>
      </w:r>
      <w:r w:rsidRPr="00C752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523D">
        <w:rPr>
          <w:rFonts w:ascii="Times New Roman" w:hAnsi="Times New Roman" w:cs="Times New Roman"/>
          <w:i/>
          <w:color w:val="auto"/>
        </w:rPr>
        <w:t>loot</w:t>
      </w:r>
      <w:proofErr w:type="spellEnd"/>
      <w:r w:rsidRPr="00C7523D">
        <w:rPr>
          <w:rFonts w:ascii="Times New Roman" w:hAnsi="Times New Roman" w:cs="Times New Roman"/>
          <w:i/>
          <w:color w:val="auto"/>
        </w:rPr>
        <w:t xml:space="preserve"> boxes</w:t>
      </w:r>
      <w:r w:rsidRPr="00C7523D">
        <w:rPr>
          <w:rFonts w:ascii="Times New Roman" w:hAnsi="Times New Roman" w:cs="Times New Roman"/>
          <w:color w:val="auto"/>
        </w:rPr>
        <w:t xml:space="preserve"> para que seja realmente possível aproveitar o jogo e cumprir os objetivos propostos.</w:t>
      </w:r>
      <w:bookmarkStart w:id="0" w:name="_heading=h.1wgys9xat9tb" w:colFirst="0" w:colLast="0"/>
      <w:bookmarkStart w:id="1" w:name="_heading=h.7dabii6ogu0" w:colFirst="0" w:colLast="0"/>
      <w:bookmarkEnd w:id="0"/>
      <w:bookmarkEnd w:id="1"/>
      <w:r w:rsidR="00D71548">
        <w:rPr>
          <w:rFonts w:ascii="Times New Roman" w:hAnsi="Times New Roman" w:cs="Times New Roman"/>
          <w:color w:val="auto"/>
        </w:rPr>
        <w:t xml:space="preserve"> </w:t>
      </w:r>
    </w:p>
    <w:p w14:paraId="51788E05" w14:textId="59706EA8" w:rsidR="00D71548" w:rsidRPr="0058620A" w:rsidRDefault="00D71548" w:rsidP="00B974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Na sequência deste resumo expandido, tem-se o </w:t>
      </w:r>
      <w:r w:rsidR="00014BC7">
        <w:rPr>
          <w:rFonts w:ascii="Times New Roman" w:hAnsi="Times New Roman" w:cs="Times New Roman"/>
          <w:color w:val="auto"/>
        </w:rPr>
        <w:t>intuito</w:t>
      </w:r>
      <w:r>
        <w:rPr>
          <w:rFonts w:ascii="Times New Roman" w:hAnsi="Times New Roman" w:cs="Times New Roman"/>
          <w:color w:val="auto"/>
        </w:rPr>
        <w:t xml:space="preserve"> de aplicar a p</w:t>
      </w:r>
      <w:r w:rsidRPr="00B9747A">
        <w:rPr>
          <w:rFonts w:ascii="Times New Roman" w:hAnsi="Times New Roman" w:cs="Times New Roman"/>
          <w:color w:val="auto"/>
        </w:rPr>
        <w:t xml:space="preserve">esquisa </w:t>
      </w:r>
      <w:r w:rsidR="00B9747A" w:rsidRPr="00B9747A">
        <w:rPr>
          <w:rFonts w:ascii="Times New Roman" w:hAnsi="Times New Roman" w:cs="Times New Roman"/>
          <w:color w:val="auto"/>
        </w:rPr>
        <w:t xml:space="preserve">com os estudantes de jogos digitais, a fim de construir o artigo completo e trazer colaborações que possam auxiliar acadêmicos e profissionais do mercado de </w:t>
      </w:r>
      <w:r w:rsidR="00B9747A" w:rsidRPr="00B9747A">
        <w:rPr>
          <w:rFonts w:ascii="Times New Roman" w:hAnsi="Times New Roman" w:cs="Times New Roman"/>
          <w:i/>
          <w:iCs/>
          <w:color w:val="auto"/>
        </w:rPr>
        <w:t>games</w:t>
      </w:r>
      <w:r w:rsidR="00B9747A" w:rsidRPr="00B9747A">
        <w:rPr>
          <w:rFonts w:ascii="Times New Roman" w:hAnsi="Times New Roman" w:cs="Times New Roman"/>
        </w:rPr>
        <w:t xml:space="preserve"> a refletirem sobre o lugar que as </w:t>
      </w:r>
      <w:r w:rsidR="00B9747A" w:rsidRPr="00B9747A">
        <w:rPr>
          <w:rFonts w:ascii="Times New Roman" w:hAnsi="Times New Roman" w:cs="Times New Roman"/>
          <w:color w:val="auto"/>
        </w:rPr>
        <w:t xml:space="preserve">microtransações ocupam no processo comunicacional existente na experiência entre jogador </w:t>
      </w:r>
      <w:r w:rsidR="00014BC7">
        <w:rPr>
          <w:rFonts w:ascii="Times New Roman" w:hAnsi="Times New Roman" w:cs="Times New Roman"/>
          <w:color w:val="auto"/>
        </w:rPr>
        <w:t xml:space="preserve">e </w:t>
      </w:r>
      <w:r w:rsidR="00B9747A" w:rsidRPr="00B9747A">
        <w:rPr>
          <w:rFonts w:ascii="Times New Roman" w:hAnsi="Times New Roman" w:cs="Times New Roman"/>
          <w:color w:val="auto"/>
        </w:rPr>
        <w:t>jogo (ruído, complemento, etc.).</w:t>
      </w:r>
    </w:p>
    <w:p w14:paraId="3F48C314" w14:textId="15DE3057" w:rsidR="008C6DC4" w:rsidRDefault="008246E9" w:rsidP="00B9747A">
      <w:pPr>
        <w:pStyle w:val="Palavras-chave"/>
        <w:ind w:firstLine="0"/>
      </w:pPr>
      <w:r w:rsidRPr="00267585">
        <w:rPr>
          <w:b/>
          <w:bCs/>
        </w:rPr>
        <w:t>Palavras-chave:</w:t>
      </w:r>
      <w:r w:rsidRPr="00267585">
        <w:t xml:space="preserve"> </w:t>
      </w:r>
      <w:r w:rsidR="00267585" w:rsidRPr="00267585">
        <w:t>Microtransações</w:t>
      </w:r>
      <w:r w:rsidRPr="00267585">
        <w:t xml:space="preserve">; </w:t>
      </w:r>
      <w:r w:rsidR="00267585" w:rsidRPr="00267585">
        <w:t>Jogos digitais</w:t>
      </w:r>
      <w:r w:rsidRPr="00267585">
        <w:t xml:space="preserve">; </w:t>
      </w:r>
      <w:r w:rsidR="00267585" w:rsidRPr="00267585">
        <w:t>Videogames</w:t>
      </w:r>
      <w:r w:rsidRPr="00267585">
        <w:t xml:space="preserve">; </w:t>
      </w:r>
      <w:r w:rsidR="00267585" w:rsidRPr="00267585">
        <w:t xml:space="preserve">Cultura </w:t>
      </w:r>
      <w:r w:rsidR="00267585" w:rsidRPr="00267585">
        <w:rPr>
          <w:i/>
          <w:iCs/>
        </w:rPr>
        <w:t>gamer</w:t>
      </w:r>
      <w:r w:rsidR="00267585">
        <w:t>.</w:t>
      </w:r>
      <w:bookmarkStart w:id="2" w:name="_heading=h.s6axoly0nbml" w:colFirst="0" w:colLast="0"/>
      <w:bookmarkEnd w:id="2"/>
    </w:p>
    <w:p w14:paraId="07F124FE" w14:textId="77777777" w:rsidR="00B9747A" w:rsidRPr="00B9747A" w:rsidRDefault="00B9747A" w:rsidP="00B9747A">
      <w:pPr>
        <w:pStyle w:val="Palavras-chave"/>
        <w:ind w:firstLine="0"/>
      </w:pPr>
    </w:p>
    <w:p w14:paraId="47F733DE" w14:textId="09823897" w:rsidR="008246E9" w:rsidRPr="00126441" w:rsidRDefault="008246E9" w:rsidP="00267585">
      <w:pPr>
        <w:pStyle w:val="Ttulo1"/>
        <w:jc w:val="center"/>
        <w:rPr>
          <w:color w:val="FF3333"/>
          <w:sz w:val="22"/>
          <w:szCs w:val="22"/>
        </w:rPr>
      </w:pPr>
      <w:r w:rsidRPr="00126441">
        <w:t>Referências</w:t>
      </w:r>
    </w:p>
    <w:p w14:paraId="63331ED2" w14:textId="77777777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 xml:space="preserve">BARDIN, Laurence. </w:t>
      </w:r>
      <w:r w:rsidRPr="00426397">
        <w:rPr>
          <w:rFonts w:ascii="Times New Roman" w:hAnsi="Times New Roman" w:cs="Times New Roman"/>
          <w:b/>
          <w:sz w:val="22"/>
          <w:szCs w:val="22"/>
        </w:rPr>
        <w:t xml:space="preserve">Análise de conteúdo. </w:t>
      </w:r>
      <w:r w:rsidRPr="00426397">
        <w:rPr>
          <w:rFonts w:ascii="Times New Roman" w:hAnsi="Times New Roman" w:cs="Times New Roman"/>
          <w:sz w:val="22"/>
          <w:szCs w:val="22"/>
        </w:rPr>
        <w:t>São Paulo: Edições 70, 2012.</w:t>
      </w:r>
    </w:p>
    <w:p w14:paraId="3B324025" w14:textId="77777777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 xml:space="preserve">DUARTE, Jorge. Entrevista em Profundidade. </w:t>
      </w:r>
      <w:r w:rsidRPr="00426397">
        <w:rPr>
          <w:rFonts w:ascii="Times New Roman" w:hAnsi="Times New Roman" w:cs="Times New Roman"/>
          <w:i/>
          <w:sz w:val="22"/>
          <w:szCs w:val="22"/>
        </w:rPr>
        <w:t xml:space="preserve">In: </w:t>
      </w:r>
      <w:r w:rsidRPr="00426397">
        <w:rPr>
          <w:rFonts w:ascii="Times New Roman" w:hAnsi="Times New Roman" w:cs="Times New Roman"/>
          <w:sz w:val="22"/>
          <w:szCs w:val="22"/>
        </w:rPr>
        <w:t xml:space="preserve">DUARTE, J.; BARROS, I (Org.) </w:t>
      </w:r>
      <w:r w:rsidRPr="00426397">
        <w:rPr>
          <w:rFonts w:ascii="Times New Roman" w:hAnsi="Times New Roman" w:cs="Times New Roman"/>
          <w:b/>
          <w:sz w:val="22"/>
          <w:szCs w:val="22"/>
        </w:rPr>
        <w:t>Métodos e Técnicas de Pesquisa em Comunicação</w:t>
      </w:r>
      <w:r w:rsidRPr="00426397">
        <w:rPr>
          <w:rFonts w:ascii="Times New Roman" w:hAnsi="Times New Roman" w:cs="Times New Roman"/>
          <w:sz w:val="22"/>
          <w:szCs w:val="22"/>
        </w:rPr>
        <w:t>. São Paulo: Atlas, 2010.</w:t>
      </w:r>
    </w:p>
    <w:p w14:paraId="11D3ADD3" w14:textId="77777777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>GONÇALVES, Gabriel; GONÇALVES, Luís.</w:t>
      </w:r>
      <w:r w:rsidRPr="00426397">
        <w:rPr>
          <w:rFonts w:ascii="Times New Roman" w:hAnsi="Times New Roman" w:cs="Times New Roman"/>
          <w:b/>
          <w:sz w:val="22"/>
          <w:szCs w:val="22"/>
        </w:rPr>
        <w:t xml:space="preserve"> Direito, jogos eletrônicos e microtransações: liberdade econômica versus proteção ao consumidor.</w:t>
      </w:r>
      <w:r w:rsidRPr="00426397">
        <w:rPr>
          <w:rFonts w:ascii="Times New Roman" w:hAnsi="Times New Roman" w:cs="Times New Roman"/>
          <w:sz w:val="22"/>
          <w:szCs w:val="22"/>
        </w:rPr>
        <w:t xml:space="preserve"> Centro Universitário Antônio Eufrásio de Toledo: Presidente Prudente, 2018.</w:t>
      </w:r>
    </w:p>
    <w:p w14:paraId="6A1AA1F0" w14:textId="77777777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 xml:space="preserve">MAZUREK Mike; POLIANOV, Beatriz. </w:t>
      </w:r>
      <w:r w:rsidRPr="00426397">
        <w:rPr>
          <w:rFonts w:ascii="Times New Roman" w:hAnsi="Times New Roman" w:cs="Times New Roman"/>
          <w:b/>
          <w:sz w:val="22"/>
          <w:szCs w:val="22"/>
        </w:rPr>
        <w:t xml:space="preserve">Consumo de Bens Virtuais em Jogos Online – Status, Diferenciação e Sociabilidade em League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of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Legends</w:t>
      </w:r>
      <w:proofErr w:type="spellEnd"/>
      <w:r w:rsidRPr="00426397">
        <w:rPr>
          <w:rFonts w:ascii="Times New Roman" w:hAnsi="Times New Roman" w:cs="Times New Roman"/>
          <w:b/>
          <w:i/>
          <w:sz w:val="22"/>
          <w:szCs w:val="22"/>
        </w:rPr>
        <w:t>.</w:t>
      </w:r>
      <w:r w:rsidRPr="0042639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26397">
        <w:rPr>
          <w:rFonts w:ascii="Times New Roman" w:hAnsi="Times New Roman" w:cs="Times New Roman"/>
          <w:sz w:val="22"/>
          <w:szCs w:val="22"/>
        </w:rPr>
        <w:t>(Online)</w:t>
      </w:r>
      <w:r w:rsidRPr="00426397"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Pr="00426397">
        <w:rPr>
          <w:rFonts w:ascii="Times New Roman" w:hAnsi="Times New Roman" w:cs="Times New Roman"/>
          <w:sz w:val="22"/>
          <w:szCs w:val="22"/>
        </w:rPr>
        <w:t>2012. Disponível em: &lt;http://www.abciber.org.br/simposio2013/anais/pdf/Eixo_5_Entretenimento_Digital/ 25500arq10043174760.pdf&gt;. Acesso em 12 de jul. 2020.</w:t>
      </w:r>
    </w:p>
    <w:p w14:paraId="1AC36D20" w14:textId="609746CB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>NOGUEIRA, João Paulo.</w:t>
      </w:r>
      <w:r w:rsidRPr="00426397">
        <w:rPr>
          <w:rFonts w:ascii="Times New Roman" w:hAnsi="Times New Roman" w:cs="Times New Roman"/>
          <w:b/>
          <w:sz w:val="22"/>
          <w:szCs w:val="22"/>
        </w:rPr>
        <w:t xml:space="preserve"> A Colaboração do Design em Microtransações em Jogos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Freemium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>. (Dissertação de Mestrado). Universidade de Brasília</w:t>
      </w:r>
      <w:r w:rsidR="00014BC7">
        <w:rPr>
          <w:rFonts w:ascii="Times New Roman" w:hAnsi="Times New Roman" w:cs="Times New Roman"/>
          <w:sz w:val="22"/>
          <w:szCs w:val="22"/>
        </w:rPr>
        <w:t xml:space="preserve"> </w:t>
      </w:r>
      <w:r w:rsidRPr="00426397">
        <w:rPr>
          <w:rFonts w:ascii="Times New Roman" w:hAnsi="Times New Roman" w:cs="Times New Roman"/>
          <w:sz w:val="22"/>
          <w:szCs w:val="22"/>
        </w:rPr>
        <w:t>– Departamento de Desenho Industrial, 2016.</w:t>
      </w:r>
    </w:p>
    <w:p w14:paraId="563E2A02" w14:textId="77777777" w:rsidR="00267585" w:rsidRPr="00426397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b/>
          <w:sz w:val="22"/>
          <w:szCs w:val="22"/>
        </w:rPr>
        <w:t xml:space="preserve">WITCHER 3: </w:t>
      </w:r>
      <w:r w:rsidRPr="00426397">
        <w:rPr>
          <w:rFonts w:ascii="Times New Roman" w:hAnsi="Times New Roman" w:cs="Times New Roman"/>
          <w:sz w:val="22"/>
          <w:szCs w:val="22"/>
        </w:rPr>
        <w:t xml:space="preserve">Wild Hunt –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Blood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Wine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>. (Online). 2016. Disponível em: &lt;https://store.steampowered.com/app/378648/TheWitcher3WildHuntBloodandWine/?l=portuguese&gt;. Acesso em 20 jul. 2020.</w:t>
      </w:r>
    </w:p>
    <w:p w14:paraId="432AFCDA" w14:textId="5135D464" w:rsidR="00267585" w:rsidRDefault="00267585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26397">
        <w:rPr>
          <w:rFonts w:ascii="Times New Roman" w:hAnsi="Times New Roman" w:cs="Times New Roman"/>
          <w:sz w:val="22"/>
          <w:szCs w:val="22"/>
        </w:rPr>
        <w:t xml:space="preserve">THORSTEINSSON,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Gu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426397">
        <w:rPr>
          <w:rFonts w:ascii="Times New Roman" w:hAnsi="Times New Roman" w:cs="Times New Roman"/>
          <w:sz w:val="22"/>
          <w:szCs w:val="22"/>
        </w:rPr>
        <w:t>mundur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; JÚLÍUSSON,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Rúnar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Freyr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. </w:t>
      </w:r>
      <w:r w:rsidRPr="00426397">
        <w:rPr>
          <w:rFonts w:ascii="Times New Roman" w:hAnsi="Times New Roman" w:cs="Times New Roman"/>
          <w:b/>
          <w:sz w:val="22"/>
          <w:szCs w:val="22"/>
        </w:rPr>
        <w:t xml:space="preserve">Case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Study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on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Loot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Boxes in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Two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b/>
          <w:sz w:val="22"/>
          <w:szCs w:val="22"/>
        </w:rPr>
        <w:t>Video</w:t>
      </w:r>
      <w:proofErr w:type="spellEnd"/>
      <w:r w:rsidRPr="00426397">
        <w:rPr>
          <w:rFonts w:ascii="Times New Roman" w:hAnsi="Times New Roman" w:cs="Times New Roman"/>
          <w:b/>
          <w:sz w:val="22"/>
          <w:szCs w:val="22"/>
        </w:rPr>
        <w:t xml:space="preserve"> Games: </w:t>
      </w:r>
      <w:r w:rsidRPr="00426397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comparison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Overwatch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Star Wars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Battlefront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 xml:space="preserve"> 2. (Trabalho de Conclusão de Curso). Reykjavík: Reykjavík </w:t>
      </w:r>
      <w:proofErr w:type="spellStart"/>
      <w:r w:rsidRPr="00426397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426397">
        <w:rPr>
          <w:rFonts w:ascii="Times New Roman" w:hAnsi="Times New Roman" w:cs="Times New Roman"/>
          <w:sz w:val="22"/>
          <w:szCs w:val="22"/>
        </w:rPr>
        <w:t>, 2017.</w:t>
      </w:r>
    </w:p>
    <w:p w14:paraId="4508ABA2" w14:textId="0A71AD18" w:rsidR="009654C8" w:rsidRPr="00B9747A" w:rsidRDefault="009654C8" w:rsidP="00014BC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VARGAS, Johnny; BORBA, Eduardo. </w:t>
      </w:r>
      <w:r w:rsidRPr="009654C8">
        <w:rPr>
          <w:rFonts w:ascii="Times New Roman" w:hAnsi="Times New Roman" w:cs="Times New Roman"/>
          <w:b/>
          <w:bCs/>
          <w:sz w:val="22"/>
          <w:szCs w:val="22"/>
        </w:rPr>
        <w:t xml:space="preserve">Game </w:t>
      </w:r>
      <w:proofErr w:type="spellStart"/>
      <w:r w:rsidRPr="009654C8">
        <w:rPr>
          <w:rFonts w:ascii="Times New Roman" w:hAnsi="Times New Roman" w:cs="Times New Roman"/>
          <w:b/>
          <w:bCs/>
          <w:sz w:val="22"/>
          <w:szCs w:val="22"/>
        </w:rPr>
        <w:t>Advertising</w:t>
      </w:r>
      <w:proofErr w:type="spellEnd"/>
      <w:r w:rsidRPr="009654C8">
        <w:rPr>
          <w:rFonts w:ascii="Times New Roman" w:hAnsi="Times New Roman" w:cs="Times New Roman"/>
          <w:b/>
          <w:bCs/>
          <w:sz w:val="22"/>
          <w:szCs w:val="22"/>
        </w:rPr>
        <w:t xml:space="preserve">: a publicidade no jogo digital </w:t>
      </w:r>
      <w:proofErr w:type="spellStart"/>
      <w:r w:rsidRPr="009654C8">
        <w:rPr>
          <w:rFonts w:ascii="Times New Roman" w:hAnsi="Times New Roman" w:cs="Times New Roman"/>
          <w:b/>
          <w:bCs/>
          <w:sz w:val="22"/>
          <w:szCs w:val="22"/>
        </w:rPr>
        <w:t>Forza</w:t>
      </w:r>
      <w:proofErr w:type="spellEnd"/>
      <w:r w:rsidRPr="009654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654C8">
        <w:rPr>
          <w:rFonts w:ascii="Times New Roman" w:hAnsi="Times New Roman" w:cs="Times New Roman"/>
          <w:b/>
          <w:bCs/>
          <w:sz w:val="22"/>
          <w:szCs w:val="22"/>
        </w:rPr>
        <w:t>Horizon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9654C8">
        <w:rPr>
          <w:rFonts w:ascii="Times New Roman" w:hAnsi="Times New Roman" w:cs="Times New Roman"/>
          <w:i/>
          <w:iCs/>
          <w:sz w:val="22"/>
          <w:szCs w:val="22"/>
        </w:rPr>
        <w:t xml:space="preserve"> In:</w:t>
      </w:r>
      <w:r>
        <w:rPr>
          <w:rFonts w:ascii="Times New Roman" w:hAnsi="Times New Roman" w:cs="Times New Roman"/>
          <w:sz w:val="22"/>
          <w:szCs w:val="22"/>
        </w:rPr>
        <w:t xml:space="preserve"> 42º Congresso Brasileiro de Ciências da comunicação. Belém, Pará: Sociedade Brasileira de Estudos Interdisciplinares da Comunicação</w:t>
      </w:r>
      <w:r w:rsidR="00A0777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0777B">
        <w:rPr>
          <w:rFonts w:ascii="Times New Roman" w:hAnsi="Times New Roman" w:cs="Times New Roman"/>
          <w:sz w:val="22"/>
          <w:szCs w:val="22"/>
        </w:rPr>
        <w:t>Intercom</w:t>
      </w:r>
      <w:proofErr w:type="spellEnd"/>
      <w:r w:rsidR="00A0777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A0777B">
        <w:rPr>
          <w:rFonts w:ascii="Times New Roman" w:hAnsi="Times New Roman" w:cs="Times New Roman"/>
          <w:sz w:val="22"/>
          <w:szCs w:val="22"/>
        </w:rPr>
        <w:t>Set.</w:t>
      </w:r>
      <w:proofErr w:type="gramEnd"/>
      <w:r w:rsidR="00A0777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2019.</w:t>
      </w:r>
      <w:r w:rsidR="00A0777B">
        <w:rPr>
          <w:rFonts w:ascii="Times New Roman" w:hAnsi="Times New Roman" w:cs="Times New Roman"/>
          <w:sz w:val="22"/>
          <w:szCs w:val="22"/>
        </w:rPr>
        <w:t xml:space="preserve"> Disponível em: &lt;</w:t>
      </w:r>
      <w:r w:rsidR="00A0777B" w:rsidRPr="00A0777B">
        <w:rPr>
          <w:rFonts w:ascii="Times New Roman" w:hAnsi="Times New Roman" w:cs="Times New Roman"/>
          <w:sz w:val="22"/>
          <w:szCs w:val="22"/>
        </w:rPr>
        <w:t>https://portalintercom.org.br/anais/nacional2019/resumos/R14-2292-1.pdf</w:t>
      </w:r>
      <w:r w:rsidR="00A0777B">
        <w:rPr>
          <w:rFonts w:ascii="Times New Roman" w:hAnsi="Times New Roman" w:cs="Times New Roman"/>
          <w:sz w:val="22"/>
          <w:szCs w:val="22"/>
        </w:rPr>
        <w:t>&gt;. Acesso em 20 de ago. 2020.</w:t>
      </w:r>
    </w:p>
    <w:sectPr w:rsidR="009654C8" w:rsidRPr="00B9747A">
      <w:headerReference w:type="default" r:id="rId6"/>
      <w:pgSz w:w="12240" w:h="15840"/>
      <w:pgMar w:top="1440" w:right="1800" w:bottom="708" w:left="1800" w:header="708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4568" w14:textId="77777777" w:rsidR="00DE593A" w:rsidRDefault="00DE593A" w:rsidP="006208EB">
      <w:pPr>
        <w:spacing w:after="0"/>
      </w:pPr>
      <w:r>
        <w:separator/>
      </w:r>
    </w:p>
  </w:endnote>
  <w:endnote w:type="continuationSeparator" w:id="0">
    <w:p w14:paraId="0D2483D0" w14:textId="77777777" w:rsidR="00DE593A" w:rsidRDefault="00DE593A" w:rsidP="0062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D523F" w14:textId="77777777" w:rsidR="00DE593A" w:rsidRDefault="00DE593A" w:rsidP="006208EB">
      <w:pPr>
        <w:spacing w:after="0"/>
      </w:pPr>
      <w:r>
        <w:separator/>
      </w:r>
    </w:p>
  </w:footnote>
  <w:footnote w:type="continuationSeparator" w:id="0">
    <w:p w14:paraId="0FE8EAF5" w14:textId="77777777" w:rsidR="00DE593A" w:rsidRDefault="00DE593A" w:rsidP="006208EB">
      <w:pPr>
        <w:spacing w:after="0"/>
      </w:pPr>
      <w:r>
        <w:continuationSeparator/>
      </w:r>
    </w:p>
  </w:footnote>
  <w:footnote w:id="1">
    <w:p w14:paraId="77862635" w14:textId="63E46E30" w:rsidR="008246E9" w:rsidRPr="00045818" w:rsidRDefault="008246E9" w:rsidP="00E430AE">
      <w:pPr>
        <w:pStyle w:val="Estilo1"/>
        <w:ind w:firstLine="0"/>
        <w:rPr>
          <w:color w:val="auto"/>
        </w:rPr>
      </w:pPr>
      <w:r w:rsidRPr="00045818">
        <w:rPr>
          <w:rStyle w:val="Caracteresdenotaderodap"/>
          <w:color w:val="auto"/>
        </w:rPr>
        <w:footnoteRef/>
      </w:r>
      <w:r w:rsidRPr="00045818">
        <w:rPr>
          <w:color w:val="auto"/>
        </w:rPr>
        <w:t xml:space="preserve"> Artigo apresentado ao Eixo Temático 1</w:t>
      </w:r>
      <w:r w:rsidR="00045818" w:rsidRPr="00045818">
        <w:rPr>
          <w:color w:val="auto"/>
        </w:rPr>
        <w:t>9</w:t>
      </w:r>
      <w:r w:rsidRPr="00045818">
        <w:rPr>
          <w:color w:val="auto"/>
        </w:rPr>
        <w:t xml:space="preserve">: </w:t>
      </w:r>
      <w:r w:rsidR="00045818" w:rsidRPr="00045818">
        <w:rPr>
          <w:color w:val="auto"/>
        </w:rPr>
        <w:t>Estéticas da Comunicação: Linguagens e Artes</w:t>
      </w:r>
      <w:r w:rsidRPr="00045818">
        <w:rPr>
          <w:color w:val="auto"/>
        </w:rPr>
        <w:t xml:space="preserve"> do XI Simpósio Nacional da </w:t>
      </w:r>
      <w:proofErr w:type="spellStart"/>
      <w:r w:rsidRPr="00045818">
        <w:rPr>
          <w:color w:val="auto"/>
        </w:rPr>
        <w:t>ABCiber</w:t>
      </w:r>
      <w:proofErr w:type="spellEnd"/>
      <w:r w:rsidRPr="00045818">
        <w:rPr>
          <w:color w:val="auto"/>
        </w:rPr>
        <w:t xml:space="preserve">. </w:t>
      </w:r>
    </w:p>
  </w:footnote>
  <w:footnote w:id="2">
    <w:p w14:paraId="7074ACCC" w14:textId="130C3341" w:rsidR="008246E9" w:rsidRPr="008C6DC4" w:rsidRDefault="008246E9" w:rsidP="00E430AE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8C6DC4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8C6DC4">
        <w:rPr>
          <w:rFonts w:ascii="Times New Roman" w:hAnsi="Times New Roman" w:cs="Times New Roman"/>
          <w:sz w:val="20"/>
          <w:szCs w:val="20"/>
        </w:rPr>
        <w:t xml:space="preserve"> </w:t>
      </w:r>
      <w:r w:rsidR="008C6DC4">
        <w:rPr>
          <w:rFonts w:ascii="Times New Roman" w:hAnsi="Times New Roman" w:cs="Times New Roman"/>
          <w:sz w:val="20"/>
          <w:szCs w:val="20"/>
        </w:rPr>
        <w:t>Publicitário e desenvolvedor independente de jogos digitais. Gradua</w:t>
      </w:r>
      <w:r w:rsidR="00370106">
        <w:rPr>
          <w:rFonts w:ascii="Times New Roman" w:hAnsi="Times New Roman" w:cs="Times New Roman"/>
          <w:sz w:val="20"/>
          <w:szCs w:val="20"/>
        </w:rPr>
        <w:t>do</w:t>
      </w:r>
      <w:r w:rsidR="008C6DC4">
        <w:rPr>
          <w:rFonts w:ascii="Times New Roman" w:hAnsi="Times New Roman" w:cs="Times New Roman"/>
          <w:sz w:val="20"/>
          <w:szCs w:val="20"/>
        </w:rPr>
        <w:t xml:space="preserve"> em Comunicação Social: Publicidade e Propaganda pela Universidade do Vale do Rio do Sinos (Unisinos)</w:t>
      </w:r>
      <w:r w:rsidRPr="008C6DC4">
        <w:rPr>
          <w:rFonts w:ascii="Times New Roman" w:hAnsi="Times New Roman" w:cs="Times New Roman"/>
          <w:sz w:val="20"/>
          <w:szCs w:val="20"/>
        </w:rPr>
        <w:t xml:space="preserve">. E-mail: </w:t>
      </w:r>
      <w:r w:rsidR="00370106">
        <w:rPr>
          <w:rFonts w:ascii="Times New Roman" w:hAnsi="Times New Roman" w:cs="Times New Roman"/>
          <w:sz w:val="20"/>
          <w:szCs w:val="20"/>
        </w:rPr>
        <w:t>n</w:t>
      </w:r>
      <w:r w:rsidR="008C6DC4">
        <w:rPr>
          <w:rFonts w:ascii="Times New Roman" w:hAnsi="Times New Roman" w:cs="Times New Roman"/>
          <w:sz w:val="20"/>
          <w:szCs w:val="20"/>
        </w:rPr>
        <w:t>nicolaslima</w:t>
      </w:r>
      <w:r w:rsidRPr="008C6DC4">
        <w:rPr>
          <w:rFonts w:ascii="Times New Roman" w:hAnsi="Times New Roman" w:cs="Times New Roman"/>
          <w:sz w:val="20"/>
          <w:szCs w:val="20"/>
        </w:rPr>
        <w:t>@</w:t>
      </w:r>
      <w:r w:rsidR="008C6DC4">
        <w:rPr>
          <w:rFonts w:ascii="Times New Roman" w:hAnsi="Times New Roman" w:cs="Times New Roman"/>
          <w:sz w:val="20"/>
          <w:szCs w:val="20"/>
        </w:rPr>
        <w:t>gmail.com</w:t>
      </w:r>
    </w:p>
  </w:footnote>
  <w:footnote w:id="3">
    <w:p w14:paraId="4715FD87" w14:textId="7BE6E2D7" w:rsidR="008246E9" w:rsidRPr="008C6DC4" w:rsidRDefault="008246E9" w:rsidP="00E430AE">
      <w:pPr>
        <w:pStyle w:val="Textodenotaderodap"/>
        <w:jc w:val="both"/>
        <w:rPr>
          <w:rFonts w:ascii="Times New Roman" w:hAnsi="Times New Roman" w:cs="Times New Roman"/>
          <w:sz w:val="20"/>
          <w:szCs w:val="20"/>
        </w:rPr>
      </w:pPr>
      <w:r w:rsidRPr="008C6DC4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8C6DC4">
        <w:rPr>
          <w:rFonts w:ascii="Times New Roman" w:hAnsi="Times New Roman" w:cs="Times New Roman"/>
          <w:sz w:val="20"/>
          <w:szCs w:val="20"/>
        </w:rPr>
        <w:t xml:space="preserve"> Professor</w:t>
      </w:r>
      <w:r w:rsidR="008C6DC4">
        <w:rPr>
          <w:rFonts w:ascii="Times New Roman" w:hAnsi="Times New Roman" w:cs="Times New Roman"/>
          <w:sz w:val="20"/>
          <w:szCs w:val="20"/>
        </w:rPr>
        <w:t>-convidado do Programa de Pós-Graduação em Desenvolvimento Regional das Faculdades Integradas de Taquara (PPGDR/</w:t>
      </w:r>
      <w:proofErr w:type="spellStart"/>
      <w:r w:rsidR="008C6DC4">
        <w:rPr>
          <w:rFonts w:ascii="Times New Roman" w:hAnsi="Times New Roman" w:cs="Times New Roman"/>
          <w:sz w:val="20"/>
          <w:szCs w:val="20"/>
        </w:rPr>
        <w:t>Faccat</w:t>
      </w:r>
      <w:proofErr w:type="spellEnd"/>
      <w:r w:rsidR="008C6DC4">
        <w:rPr>
          <w:rFonts w:ascii="Times New Roman" w:hAnsi="Times New Roman" w:cs="Times New Roman"/>
          <w:sz w:val="20"/>
          <w:szCs w:val="20"/>
        </w:rPr>
        <w:t xml:space="preserve">), professor-assistente na Escola da Indústria Criativa da Universidade do Vale do Rio do Sinos (Unisinos) e pesquisador junto ao Centro Interdisciplinar em Tecnologias Interativas da Universidade de São Paulo (CITI/USP). </w:t>
      </w:r>
      <w:r w:rsidR="00267585">
        <w:rPr>
          <w:rFonts w:ascii="Times New Roman" w:hAnsi="Times New Roman" w:cs="Times New Roman"/>
          <w:sz w:val="20"/>
          <w:szCs w:val="20"/>
        </w:rPr>
        <w:t>Doutor em Comunicação e Informação pela Universidade Fernando Pessoa (UFP, Portugal) com estágio de pós-doutorado em Engenharia e Sistema Digitais na Escola Politécnica da Universidade de São Paulo (EP-USP). E-mail: ezb@lsi.usp.br</w:t>
      </w:r>
    </w:p>
  </w:footnote>
  <w:footnote w:id="4">
    <w:p w14:paraId="2EB7C697" w14:textId="44C4EBEF" w:rsidR="008C6DC4" w:rsidRPr="008C6DC4" w:rsidRDefault="008C6DC4" w:rsidP="00E430AE">
      <w:pPr>
        <w:jc w:val="both"/>
        <w:rPr>
          <w:rFonts w:ascii="Times New Roman" w:hAnsi="Times New Roman" w:cs="Times New Roman"/>
          <w:sz w:val="20"/>
          <w:szCs w:val="20"/>
        </w:rPr>
      </w:pPr>
      <w:r w:rsidRPr="008C6DC4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C6DC4">
        <w:rPr>
          <w:rFonts w:ascii="Times New Roman" w:hAnsi="Times New Roman" w:cs="Times New Roman"/>
          <w:sz w:val="20"/>
          <w:szCs w:val="20"/>
        </w:rPr>
        <w:t xml:space="preserve"> </w:t>
      </w:r>
      <w:r w:rsidR="00014BC7">
        <w:rPr>
          <w:rFonts w:ascii="Times New Roman" w:hAnsi="Times New Roman" w:cs="Times New Roman"/>
          <w:sz w:val="20"/>
          <w:szCs w:val="20"/>
        </w:rPr>
        <w:t xml:space="preserve">Disponível </w:t>
      </w:r>
      <w:r w:rsidRPr="008C6DC4">
        <w:rPr>
          <w:rFonts w:ascii="Times New Roman" w:hAnsi="Times New Roman" w:cs="Times New Roman"/>
          <w:sz w:val="20"/>
          <w:szCs w:val="20"/>
        </w:rPr>
        <w:t xml:space="preserve">em: &lt;https://newzoo.com/insights/articles/the-global-games-market-will-generate-152-1-billion-in-2019-as-the-u-s-overtakes-china-as-the-biggest-market&gt;. Acesso em 29 de </w:t>
      </w:r>
      <w:r w:rsidR="00014BC7">
        <w:rPr>
          <w:rFonts w:ascii="Times New Roman" w:hAnsi="Times New Roman" w:cs="Times New Roman"/>
          <w:sz w:val="20"/>
          <w:szCs w:val="20"/>
        </w:rPr>
        <w:t>jul</w:t>
      </w:r>
      <w:r w:rsidRPr="008C6DC4">
        <w:rPr>
          <w:rFonts w:ascii="Times New Roman" w:hAnsi="Times New Roman" w:cs="Times New Roman"/>
          <w:sz w:val="20"/>
          <w:szCs w:val="20"/>
        </w:rPr>
        <w:t>. 2020.</w:t>
      </w:r>
    </w:p>
  </w:footnote>
  <w:footnote w:id="5">
    <w:p w14:paraId="5B4A6B77" w14:textId="77777777" w:rsidR="008C6DC4" w:rsidRPr="008C6DC4" w:rsidRDefault="008C6DC4" w:rsidP="00E43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8C6DC4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C6DC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Detalhes em: &lt;https://www.techtudo.com.br/noticias/2017/11/o-que-sao-loot-boxes-entenda-a-polemica-dos-games.ghtml&gt;. Acesso em 27 de </w:t>
      </w:r>
      <w:r w:rsidRPr="008C6DC4">
        <w:rPr>
          <w:rFonts w:ascii="Times New Roman" w:hAnsi="Times New Roman" w:cs="Times New Roman"/>
          <w:sz w:val="20"/>
          <w:szCs w:val="20"/>
        </w:rPr>
        <w:t>jul</w:t>
      </w:r>
      <w:r w:rsidRPr="008C6DC4">
        <w:rPr>
          <w:rFonts w:ascii="Times New Roman" w:eastAsia="Arial" w:hAnsi="Times New Roman" w:cs="Times New Roman"/>
          <w:color w:val="000000"/>
          <w:sz w:val="20"/>
          <w:szCs w:val="20"/>
        </w:rPr>
        <w:t>. 20</w:t>
      </w:r>
      <w:r w:rsidRPr="008C6DC4">
        <w:rPr>
          <w:rFonts w:ascii="Times New Roman" w:hAnsi="Times New Roman" w:cs="Times New Roman"/>
          <w:sz w:val="20"/>
          <w:szCs w:val="20"/>
        </w:rPr>
        <w:t>20.</w:t>
      </w:r>
    </w:p>
  </w:footnote>
  <w:footnote w:id="6">
    <w:p w14:paraId="343C2FA7" w14:textId="77777777" w:rsidR="0058620A" w:rsidRPr="00426397" w:rsidRDefault="0058620A" w:rsidP="00E43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26397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26397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26397">
        <w:rPr>
          <w:rFonts w:ascii="Times New Roman" w:eastAsia="Arial" w:hAnsi="Times New Roman" w:cs="Times New Roman"/>
          <w:i/>
          <w:color w:val="000000"/>
          <w:sz w:val="20"/>
          <w:szCs w:val="20"/>
        </w:rPr>
        <w:t>Skin</w:t>
      </w:r>
      <w:proofErr w:type="spellEnd"/>
      <w:r w:rsidRPr="00426397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refere-se à palavra inglesa que significa pele (tradução livre).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C6EB" w14:textId="7EFFEE67" w:rsidR="006208EB" w:rsidRDefault="006208EB" w:rsidP="00BD35DD">
    <w:pPr>
      <w:spacing w:after="0"/>
      <w:ind w:left="708"/>
      <w:rPr>
        <w:rFonts w:ascii="Times New Roman" w:hAnsi="Times New Roman" w:cs="Times New Roman"/>
        <w:b/>
        <w:sz w:val="28"/>
        <w:lang w:eastAsia="en-GB"/>
      </w:rPr>
    </w:pPr>
    <w:r w:rsidRPr="006208EB">
      <w:rPr>
        <w:rFonts w:ascii="Times New Roman" w:hAnsi="Times New Roman" w:cs="Times New Roman"/>
        <w:noProof/>
        <w:sz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2E521BF0" wp14:editId="1F068009">
          <wp:simplePos x="0" y="0"/>
          <wp:positionH relativeFrom="column">
            <wp:posOffset>-691515</wp:posOffset>
          </wp:positionH>
          <wp:positionV relativeFrom="paragraph">
            <wp:posOffset>22860</wp:posOffset>
          </wp:positionV>
          <wp:extent cx="1186180" cy="788670"/>
          <wp:effectExtent l="0" t="0" r="0" b="0"/>
          <wp:wrapSquare wrapText="bothSides"/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5DD">
      <w:rPr>
        <w:rFonts w:ascii="Times New Roman" w:hAnsi="Times New Roman" w:cs="Times New Roman"/>
        <w:b/>
        <w:sz w:val="28"/>
        <w:lang w:eastAsia="en-GB"/>
      </w:rPr>
      <w:t xml:space="preserve">       </w:t>
    </w:r>
    <w:r w:rsidRPr="006208EB">
      <w:rPr>
        <w:rFonts w:ascii="Times New Roman" w:hAnsi="Times New Roman" w:cs="Times New Roman"/>
        <w:b/>
        <w:sz w:val="28"/>
        <w:lang w:eastAsia="en-GB"/>
      </w:rPr>
      <w:t>X</w:t>
    </w:r>
    <w:r w:rsidR="005667C6">
      <w:rPr>
        <w:rFonts w:ascii="Times New Roman" w:hAnsi="Times New Roman" w:cs="Times New Roman"/>
        <w:b/>
        <w:sz w:val="28"/>
        <w:lang w:eastAsia="en-GB"/>
      </w:rPr>
      <w:t>III</w:t>
    </w:r>
    <w:r w:rsidRPr="006208EB">
      <w:rPr>
        <w:rFonts w:ascii="Times New Roman" w:hAnsi="Times New Roman" w:cs="Times New Roman"/>
        <w:b/>
        <w:sz w:val="28"/>
        <w:lang w:eastAsia="en-GB"/>
      </w:rPr>
      <w:t xml:space="preserve"> Simpósio Nacional </w:t>
    </w:r>
    <w:r w:rsidR="00906F1F">
      <w:rPr>
        <w:rFonts w:ascii="Times New Roman" w:hAnsi="Times New Roman" w:cs="Times New Roman"/>
        <w:b/>
        <w:sz w:val="28"/>
        <w:lang w:eastAsia="en-GB"/>
      </w:rPr>
      <w:t xml:space="preserve">da </w:t>
    </w:r>
    <w:proofErr w:type="spellStart"/>
    <w:r w:rsidRPr="006208EB">
      <w:rPr>
        <w:rFonts w:ascii="Times New Roman" w:hAnsi="Times New Roman" w:cs="Times New Roman"/>
        <w:b/>
        <w:sz w:val="28"/>
        <w:lang w:eastAsia="en-GB"/>
      </w:rPr>
      <w:t>ABCiber</w:t>
    </w:r>
    <w:proofErr w:type="spellEnd"/>
    <w:r w:rsidR="00BD35DD">
      <w:rPr>
        <w:rFonts w:ascii="Times New Roman" w:hAnsi="Times New Roman" w:cs="Times New Roman"/>
        <w:b/>
        <w:sz w:val="28"/>
        <w:lang w:eastAsia="en-GB"/>
      </w:rPr>
      <w:t xml:space="preserve">                  </w:t>
    </w:r>
    <w:r w:rsidR="00BD35DD">
      <w:rPr>
        <w:rFonts w:ascii="Times New Roman" w:hAnsi="Times New Roman" w:cs="Times New Roman"/>
        <w:noProof/>
        <w:lang w:eastAsia="en-GB"/>
      </w:rPr>
      <w:drawing>
        <wp:inline distT="0" distB="0" distL="0" distR="0" wp14:anchorId="28C308D7" wp14:editId="0BED3AB1">
          <wp:extent cx="987552" cy="704088"/>
          <wp:effectExtent l="0" t="0" r="3175" b="0"/>
          <wp:docPr id="4" name="Picture 4" descr="A city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Stor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87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CCA8" w14:textId="77777777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 w:rsidRPr="00BD35DD">
      <w:rPr>
        <w:rFonts w:ascii="Times New Roman" w:hAnsi="Times New Roman" w:cs="Times New Roman"/>
        <w:lang w:eastAsia="en-GB"/>
      </w:rPr>
      <w:t xml:space="preserve">Virtualização da vida: futuros imediatos, </w:t>
    </w:r>
    <w:proofErr w:type="spellStart"/>
    <w:r w:rsidRPr="00BD35DD">
      <w:rPr>
        <w:rFonts w:ascii="Times New Roman" w:hAnsi="Times New Roman" w:cs="Times New Roman"/>
        <w:lang w:eastAsia="en-GB"/>
      </w:rPr>
      <w:t>tecnopolíticas</w:t>
    </w:r>
    <w:proofErr w:type="spellEnd"/>
    <w:r>
      <w:rPr>
        <w:rFonts w:ascii="Times New Roman" w:hAnsi="Times New Roman" w:cs="Times New Roman"/>
        <w:lang w:eastAsia="en-GB"/>
      </w:rPr>
      <w:t xml:space="preserve"> </w:t>
    </w:r>
  </w:p>
  <w:p w14:paraId="084F18C8" w14:textId="791A0F9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</w:t>
    </w:r>
    <w:r w:rsidRPr="00BD35DD">
      <w:rPr>
        <w:rFonts w:ascii="Times New Roman" w:hAnsi="Times New Roman" w:cs="Times New Roman"/>
        <w:lang w:eastAsia="en-GB"/>
      </w:rPr>
      <w:t xml:space="preserve">e reconstrução do comum no cenário pós-pandemia.                    </w:t>
    </w:r>
  </w:p>
  <w:p w14:paraId="5D766328" w14:textId="745AE5FF" w:rsidR="00BD35DD" w:rsidRP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</w:t>
    </w:r>
    <w:r w:rsidRPr="00BD35DD">
      <w:rPr>
        <w:rFonts w:ascii="Times New Roman" w:hAnsi="Times New Roman" w:cs="Times New Roman"/>
        <w:lang w:eastAsia="en-GB"/>
      </w:rPr>
      <w:t xml:space="preserve">16 a 19 de dezembro de 2020 – Escola de Comunicações                  </w:t>
    </w:r>
  </w:p>
  <w:p w14:paraId="24BAB189" w14:textId="0E25B1BC" w:rsidR="00BD35DD" w:rsidRDefault="00BD35DD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     </w:t>
    </w:r>
    <w:r w:rsidRPr="00BD35DD">
      <w:rPr>
        <w:rFonts w:ascii="Times New Roman" w:hAnsi="Times New Roman" w:cs="Times New Roman"/>
        <w:lang w:eastAsia="en-GB"/>
      </w:rPr>
      <w:t xml:space="preserve">da Universidade Federal do Rio de Janeiro.     </w:t>
    </w:r>
  </w:p>
  <w:p w14:paraId="1DCEC981" w14:textId="555F6A82" w:rsidR="009C134C" w:rsidRPr="00BD35DD" w:rsidRDefault="005667C6" w:rsidP="00BD35DD">
    <w:pPr>
      <w:spacing w:after="0"/>
      <w:ind w:left="6372"/>
      <w:rPr>
        <w:rFonts w:ascii="Times New Roman" w:hAnsi="Times New Roman" w:cs="Times New Roman"/>
        <w:b/>
        <w:lang w:eastAsia="en-GB"/>
      </w:rPr>
    </w:pPr>
    <w:r>
      <w:rPr>
        <w:rFonts w:ascii="Times New Roman" w:hAnsi="Times New Roman" w:cs="Times New Roman"/>
        <w:b/>
        <w:lang w:eastAsia="en-GB"/>
      </w:rPr>
      <w:t xml:space="preserve"> </w:t>
    </w:r>
    <w:r w:rsidR="00BD35DD">
      <w:rPr>
        <w:rFonts w:ascii="Times New Roman" w:hAnsi="Times New Roman" w:cs="Times New Roman"/>
        <w:b/>
        <w:lang w:eastAsia="en-GB"/>
      </w:rPr>
      <w:t xml:space="preserve">           </w:t>
    </w:r>
    <w:r>
      <w:rPr>
        <w:rFonts w:ascii="Times New Roman" w:hAnsi="Times New Roman" w:cs="Times New Roman"/>
        <w:lang w:eastAsia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EB"/>
    <w:rsid w:val="00014BC7"/>
    <w:rsid w:val="00045818"/>
    <w:rsid w:val="000C592C"/>
    <w:rsid w:val="000C6BBE"/>
    <w:rsid w:val="001A0A67"/>
    <w:rsid w:val="00267585"/>
    <w:rsid w:val="002E35C3"/>
    <w:rsid w:val="0031216B"/>
    <w:rsid w:val="00370106"/>
    <w:rsid w:val="00482770"/>
    <w:rsid w:val="00485D7A"/>
    <w:rsid w:val="004E5689"/>
    <w:rsid w:val="005414F2"/>
    <w:rsid w:val="005667C6"/>
    <w:rsid w:val="0058620A"/>
    <w:rsid w:val="005E2106"/>
    <w:rsid w:val="006208EB"/>
    <w:rsid w:val="00633BC2"/>
    <w:rsid w:val="006C038B"/>
    <w:rsid w:val="008246E9"/>
    <w:rsid w:val="008C6DC4"/>
    <w:rsid w:val="00906F1F"/>
    <w:rsid w:val="009654C8"/>
    <w:rsid w:val="00A0777B"/>
    <w:rsid w:val="00AD5A67"/>
    <w:rsid w:val="00B9747A"/>
    <w:rsid w:val="00BD35DD"/>
    <w:rsid w:val="00C560F0"/>
    <w:rsid w:val="00C7523D"/>
    <w:rsid w:val="00D71548"/>
    <w:rsid w:val="00DE593A"/>
    <w:rsid w:val="00E430AE"/>
    <w:rsid w:val="00F56BDA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E94D"/>
  <w15:chartTrackingRefBased/>
  <w15:docId w15:val="{48374E2D-EDEF-4659-BC06-3D17CB8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6208EB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aliases w:val="Subtítulos"/>
    <w:basedOn w:val="Normal"/>
    <w:next w:val="Normal"/>
    <w:link w:val="Ttulo1Char"/>
    <w:uiPriority w:val="9"/>
    <w:qFormat/>
    <w:rsid w:val="0031216B"/>
    <w:pPr>
      <w:keepNext/>
      <w:keepLines/>
      <w:suppressAutoHyphens w:val="0"/>
      <w:spacing w:before="240" w:after="0" w:line="360" w:lineRule="auto"/>
      <w:jc w:val="right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kern w:val="0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uiPriority w:val="1"/>
    <w:qFormat/>
    <w:rsid w:val="006C038B"/>
    <w:pPr>
      <w:spacing w:after="0" w:line="240" w:lineRule="auto"/>
      <w:ind w:left="2832"/>
      <w:jc w:val="both"/>
    </w:pPr>
    <w:rPr>
      <w:rFonts w:ascii="Times New Roman" w:hAnsi="Times New Roman"/>
    </w:rPr>
  </w:style>
  <w:style w:type="character" w:customStyle="1" w:styleId="Ttulo1Char">
    <w:name w:val="Título 1 Char"/>
    <w:aliases w:val="Subtítulos Char"/>
    <w:basedOn w:val="Fontepargpadro"/>
    <w:link w:val="Ttulo1"/>
    <w:uiPriority w:val="9"/>
    <w:rsid w:val="0031216B"/>
    <w:rPr>
      <w:rFonts w:ascii="Times New Roman" w:eastAsiaTheme="majorEastAsia" w:hAnsi="Times New Roman" w:cstheme="majorBidi"/>
      <w:b/>
      <w:color w:val="2E74B5" w:themeColor="accent1" w:themeShade="BF"/>
      <w:sz w:val="26"/>
      <w:szCs w:val="32"/>
    </w:rPr>
  </w:style>
  <w:style w:type="character" w:customStyle="1" w:styleId="Caracteresdenotaderodap">
    <w:name w:val="Caracteres de nota de rodapé"/>
    <w:rsid w:val="006208EB"/>
  </w:style>
  <w:style w:type="character" w:styleId="Refdenotaderodap">
    <w:name w:val="footnote reference"/>
    <w:rsid w:val="006208EB"/>
    <w:rPr>
      <w:vertAlign w:val="superscript"/>
    </w:rPr>
  </w:style>
  <w:style w:type="paragraph" w:styleId="Textodenotaderodap">
    <w:name w:val="footnote text"/>
    <w:basedOn w:val="Normal"/>
    <w:link w:val="TextodenotaderodapChar"/>
    <w:qFormat/>
    <w:rsid w:val="006208EB"/>
  </w:style>
  <w:style w:type="character" w:customStyle="1" w:styleId="TextodenotaderodapChar">
    <w:name w:val="Texto de nota de rodapé Char"/>
    <w:basedOn w:val="Fontepargpadro"/>
    <w:link w:val="Textodenotaderodap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Corpodetexto2">
    <w:name w:val="Body Text 2"/>
    <w:basedOn w:val="Normal"/>
    <w:link w:val="Corpodetexto2Char"/>
    <w:rsid w:val="006208EB"/>
    <w:pPr>
      <w:shd w:val="clear" w:color="auto" w:fill="000080"/>
      <w:spacing w:after="0"/>
      <w:jc w:val="center"/>
    </w:pPr>
    <w:rPr>
      <w:rFonts w:ascii="Times New Roman" w:eastAsia="Times New Roman" w:hAnsi="Times New Roman" w:cs="Times New Roman"/>
      <w:b/>
      <w:sz w:val="7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08EB"/>
    <w:rPr>
      <w:rFonts w:ascii="Times New Roman" w:eastAsia="Times New Roman" w:hAnsi="Times New Roman" w:cs="Times New Roman"/>
      <w:b/>
      <w:color w:val="00000A"/>
      <w:kern w:val="1"/>
      <w:sz w:val="70"/>
      <w:szCs w:val="20"/>
      <w:shd w:val="clear" w:color="auto" w:fill="000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246E9"/>
    <w:pPr>
      <w:spacing w:before="240"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auto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6E9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paragraph" w:customStyle="1" w:styleId="Citaolonga">
    <w:name w:val="Citação longa"/>
    <w:basedOn w:val="Normal"/>
    <w:next w:val="Normal"/>
    <w:qFormat/>
    <w:rsid w:val="008246E9"/>
    <w:pPr>
      <w:spacing w:before="240" w:after="240"/>
      <w:ind w:left="2268"/>
      <w:jc w:val="both"/>
    </w:pPr>
    <w:rPr>
      <w:rFonts w:ascii="Times New Roman" w:hAnsi="Times New Roman" w:cs="Times New Roman"/>
      <w:sz w:val="22"/>
    </w:rPr>
  </w:style>
  <w:style w:type="paragraph" w:customStyle="1" w:styleId="Pesquisadores">
    <w:name w:val="Pesquisadores"/>
    <w:basedOn w:val="Normal"/>
    <w:next w:val="Normal"/>
    <w:qFormat/>
    <w:rsid w:val="008246E9"/>
    <w:pPr>
      <w:spacing w:before="240" w:after="240"/>
      <w:jc w:val="center"/>
    </w:pPr>
    <w:rPr>
      <w:rFonts w:ascii="Times New Roman" w:hAnsi="Times New Roman" w:cs="Times New Roman"/>
      <w:b/>
      <w:bCs/>
    </w:rPr>
  </w:style>
  <w:style w:type="paragraph" w:customStyle="1" w:styleId="Referncias">
    <w:name w:val="Referências"/>
    <w:qFormat/>
    <w:rsid w:val="008246E9"/>
    <w:pPr>
      <w:spacing w:before="120" w:after="120" w:line="240" w:lineRule="auto"/>
      <w:ind w:firstLine="720"/>
      <w:jc w:val="both"/>
    </w:pPr>
    <w:rPr>
      <w:rFonts w:ascii="Times New Roman" w:eastAsia="Cambria" w:hAnsi="Times New Roman" w:cs="Times New Roman"/>
      <w:kern w:val="1"/>
    </w:rPr>
  </w:style>
  <w:style w:type="paragraph" w:customStyle="1" w:styleId="Palavras-chave">
    <w:name w:val="Palavras-chave"/>
    <w:basedOn w:val="Normal"/>
    <w:qFormat/>
    <w:rsid w:val="008246E9"/>
    <w:pPr>
      <w:spacing w:before="240" w:after="240" w:line="36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Estilo1">
    <w:name w:val="Estilo1"/>
    <w:basedOn w:val="Textodenotaderodap"/>
    <w:rsid w:val="008246E9"/>
    <w:pPr>
      <w:suppressAutoHyphens w:val="0"/>
      <w:spacing w:before="120" w:after="120"/>
      <w:ind w:firstLine="720"/>
      <w:jc w:val="both"/>
    </w:pPr>
    <w:rPr>
      <w:rFonts w:ascii="Times New Roman" w:hAnsi="Times New Roman" w:cs="Times New Roman"/>
      <w:color w:val="FF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D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DC4"/>
    <w:rPr>
      <w:rFonts w:ascii="Segoe UI" w:eastAsia="Cambria" w:hAnsi="Segoe UI" w:cs="Segoe UI"/>
      <w:color w:val="00000A"/>
      <w:kern w:val="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077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1401</Words>
  <Characters>8281</Characters>
  <Application>Microsoft Office Word</Application>
  <DocSecurity>0</DocSecurity>
  <Lines>129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Bonami</dc:creator>
  <cp:keywords/>
  <dc:description/>
  <cp:lastModifiedBy>Eduardo Zilles Borba</cp:lastModifiedBy>
  <cp:revision>15</cp:revision>
  <dcterms:created xsi:type="dcterms:W3CDTF">2020-10-01T12:16:00Z</dcterms:created>
  <dcterms:modified xsi:type="dcterms:W3CDTF">2020-10-23T17:45:00Z</dcterms:modified>
</cp:coreProperties>
</file>