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70A24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JOGOS DIGITAIS PARA DESENVOLVER HABILIDADES DE CONTAGEM NOS ANOS INICIAIS DO ENSINO FUNDAMENTAL NA PERSPECTIVA DA CIBERCULTURA</w:t>
      </w:r>
    </w:p>
    <w:p w14:paraId="19FCEDCF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</w:p>
    <w:p w14:paraId="173BD2CD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color w:val="000000"/>
          <w:kern w:val="0"/>
          <w:vertAlign w:val="superscript"/>
          <w:lang w:eastAsia="pt-BR"/>
        </w:rPr>
      </w:pPr>
      <w:r w:rsidRPr="00D325C5">
        <w:rPr>
          <w:rFonts w:ascii="Times New Roman" w:eastAsia="Calibri" w:hAnsi="Times New Roman" w:cs="Times New Roman"/>
          <w:color w:val="000000"/>
          <w:kern w:val="0"/>
          <w:lang w:eastAsia="pt-BR"/>
        </w:rPr>
        <w:t>Vinicius Carvalho Beck</w:t>
      </w:r>
      <w:r w:rsidRPr="00D325C5">
        <w:rPr>
          <w:rFonts w:ascii="Times New Roman" w:eastAsia="Calibri" w:hAnsi="Times New Roman" w:cs="Times New Roman"/>
          <w:color w:val="000000"/>
          <w:kern w:val="0"/>
          <w:vertAlign w:val="superscript"/>
          <w:lang w:eastAsia="pt-BR"/>
        </w:rPr>
        <w:t>1</w:t>
      </w:r>
    </w:p>
    <w:p w14:paraId="6D12C994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04CC1B12" w14:textId="77777777" w:rsidR="00D325C5" w:rsidRPr="00D325C5" w:rsidRDefault="00D325C5" w:rsidP="00D325C5">
      <w:pPr>
        <w:suppressAutoHyphens w:val="0"/>
        <w:spacing w:after="0"/>
        <w:ind w:left="1814" w:hanging="1814"/>
        <w:jc w:val="both"/>
        <w:rPr>
          <w:rFonts w:ascii="TimesNewRomanPSMT" w:eastAsia="Calibri" w:hAnsi="TimesNewRomanPSMT" w:cs="TimesNewRomanPSMT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 xml:space="preserve">Eixo Temático: </w:t>
      </w:r>
      <w:r w:rsidRPr="00D325C5">
        <w:rPr>
          <w:rFonts w:ascii="TimesNewRomanPSMT" w:eastAsia="Calibri" w:hAnsi="TimesNewRomanPSMT" w:cs="TimesNewRomanPSMT"/>
          <w:kern w:val="0"/>
          <w:u w:color="000000"/>
          <w:lang w:eastAsia="pt-BR"/>
        </w:rPr>
        <w:t>25. Games e Processos de Aprendizagem em Contextos Digitais, Realidades Aumentadas</w:t>
      </w:r>
    </w:p>
    <w:p w14:paraId="25372F06" w14:textId="77777777" w:rsidR="00D325C5" w:rsidRPr="00D325C5" w:rsidRDefault="00D325C5" w:rsidP="00D325C5">
      <w:pPr>
        <w:suppressAutoHyphens w:val="0"/>
        <w:spacing w:after="0"/>
        <w:ind w:left="1814" w:hanging="1814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5113B678" w14:textId="77777777" w:rsidR="00D325C5" w:rsidRPr="00D325C5" w:rsidRDefault="00D325C5" w:rsidP="00D325C5">
      <w:pPr>
        <w:suppressAutoHyphens w:val="0"/>
        <w:spacing w:after="0"/>
        <w:ind w:left="1814" w:hanging="1814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Palavras-Chave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: Jogos; Habilidades; Contagem; BNCC; Cibercultura.</w:t>
      </w:r>
    </w:p>
    <w:p w14:paraId="7C4C09C2" w14:textId="77777777" w:rsidR="00D325C5" w:rsidRPr="00D325C5" w:rsidRDefault="00D325C5" w:rsidP="00D325C5">
      <w:pPr>
        <w:suppressAutoHyphens w:val="0"/>
        <w:spacing w:after="0"/>
        <w:ind w:left="1814" w:hanging="1814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0C1F5476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28F7E572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1. INTRODUÇÃO</w:t>
      </w:r>
    </w:p>
    <w:p w14:paraId="492A1131" w14:textId="77777777" w:rsidR="00D325C5" w:rsidRPr="00D325C5" w:rsidRDefault="00D325C5" w:rsidP="00D325C5">
      <w:pPr>
        <w:suppressAutoHyphens w:val="0"/>
        <w:spacing w:after="0"/>
        <w:jc w:val="both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48D7949C" w14:textId="28D2B15F" w:rsidR="006975E0" w:rsidRDefault="006975E0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A habilidade de </w:t>
      </w:r>
      <w:r w:rsidRPr="00E63667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conta</w:t>
      </w:r>
      <w:r w:rsidR="00E63667" w:rsidRPr="00E63667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r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é uma das mais importantes nos primeiros anos escolares, pois além de ser em si mesma </w:t>
      </w:r>
      <w:r w:rsidR="00E6366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necessária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para a vida social da criança, ela prepara para a aprendizagem de conceitos mais complexos, como por exemplo, as operações de adição e subtração.</w:t>
      </w:r>
    </w:p>
    <w:p w14:paraId="7011072A" w14:textId="2F2E29CB" w:rsidR="006975E0" w:rsidRDefault="00AC0477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Os jogos digitais são importantes ferramentas para criar um ambiente lúdico de aprendizagem de conceitos científicos. A oferta de jogos na internet é vasta, porém pouco dif</w:t>
      </w:r>
      <w:r w:rsidR="00E6366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u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ndida nas escolas, seja por limitações técnicas, seja pelo entendimento de que tais jogos constituem-se como atividades meramente recreativas, sem potencial pedagógico.</w:t>
      </w:r>
    </w:p>
    <w:p w14:paraId="4B22034C" w14:textId="61908109" w:rsidR="00AC0477" w:rsidRDefault="00AC0477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É necessário que professores e pesquisadores explorem cada vez mais os jogos digitais, a fim de criar uma cultura de avaliação de tais ferramentas, de modo que seja possível discutirmos a viabilidade pedagógica d</w:t>
      </w:r>
      <w:r w:rsidR="00E6366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o uso de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jogos</w:t>
      </w:r>
      <w:r w:rsidR="00E6366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digitais para o ensino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6DE26947" w14:textId="5435DA35" w:rsidR="00D325C5" w:rsidRP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A principal justificativa </w:t>
      </w:r>
      <w:r w:rsidR="003466C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para a realilzação da presente pesquisa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é o fato de existirem poucos estudos empíricos </w:t>
      </w:r>
      <w:r w:rsidR="0021196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relatando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as principais características da aprendizagem mediada pelas novas tecnologias na perspectiva da cibercultura. Pouco se sabe a respeito das próprias tecnologias do ciberespaço, suas características e como podem contribuir para desenvolver habilidades previstas no currículo da educação básica. </w:t>
      </w:r>
    </w:p>
    <w:p w14:paraId="21EDB8E3" w14:textId="238563FD" w:rsid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O objetivo deste trabalho é ampliar a compreensão do fenômeno da aprendizagem por simulaçlão na cibercultura, com base na descrição e análise de alguns jogos </w:t>
      </w:r>
      <w:r w:rsidR="00E6366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digitais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do site Escolas Games</w:t>
      </w:r>
      <w:r w:rsidR="008F66AB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(2021)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tendo em vista as competências previstas pela Base Nacional Comum Curricular (BNCC</w:t>
      </w:r>
      <w:r w:rsidR="00EA5B2B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2017/2018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) para o desenvolvimento da habilidade de </w:t>
      </w:r>
      <w:r w:rsidRPr="008D7E96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contar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nos anos iniciais do Ensino Fundamental.</w:t>
      </w:r>
    </w:p>
    <w:p w14:paraId="29FEE7A6" w14:textId="330984DA" w:rsidR="00E5257B" w:rsidRDefault="00E5257B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4E62410C" w14:textId="3CEB8E88" w:rsidR="00E5257B" w:rsidRPr="00D325C5" w:rsidRDefault="00E5257B" w:rsidP="00E5257B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lastRenderedPageBreak/>
        <w:t>2. RE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VISÃO BIBLIOGRÁFICA</w:t>
      </w:r>
    </w:p>
    <w:p w14:paraId="2A6655EF" w14:textId="77777777" w:rsidR="00E5257B" w:rsidRPr="00D325C5" w:rsidRDefault="00E5257B" w:rsidP="00E5257B">
      <w:pPr>
        <w:suppressAutoHyphens w:val="0"/>
        <w:spacing w:after="0"/>
        <w:jc w:val="center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1ED0F20B" w14:textId="0AF07805" w:rsidR="00BC1147" w:rsidRDefault="00BC1147" w:rsidP="00BC1147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que a criança consolide a construção do conceito de número, dois processos mentais são fundamentais: a </w:t>
      </w:r>
      <w:r>
        <w:rPr>
          <w:rFonts w:ascii="Times New Roman" w:hAnsi="Times New Roman" w:cs="Times New Roman"/>
          <w:i/>
          <w:iCs/>
          <w:sz w:val="24"/>
          <w:szCs w:val="24"/>
        </w:rPr>
        <w:t>quantificação</w:t>
      </w:r>
      <w:r>
        <w:rPr>
          <w:rFonts w:ascii="Times New Roman" w:hAnsi="Times New Roman" w:cs="Times New Roman"/>
          <w:sz w:val="24"/>
          <w:szCs w:val="24"/>
        </w:rPr>
        <w:t xml:space="preserve"> e a </w:t>
      </w:r>
      <w:r>
        <w:rPr>
          <w:rFonts w:ascii="Times New Roman" w:hAnsi="Times New Roman" w:cs="Times New Roman"/>
          <w:i/>
          <w:iCs/>
          <w:sz w:val="24"/>
          <w:szCs w:val="24"/>
        </w:rPr>
        <w:t>contagem</w:t>
      </w:r>
      <w:r>
        <w:rPr>
          <w:rFonts w:ascii="Times New Roman" w:hAnsi="Times New Roman" w:cs="Times New Roman"/>
          <w:sz w:val="24"/>
          <w:szCs w:val="24"/>
        </w:rPr>
        <w:t xml:space="preserve"> (KAMII, 2012). A quantificação consiste em associar um número (e sua representação) a uma certa quantidade de objetos. A contagem consiste em ordenar objetos em sequência, atribuindo a cada um deles, um número ordinal, o qual representa </w:t>
      </w:r>
      <w:r w:rsidR="007729C0">
        <w:rPr>
          <w:rFonts w:ascii="Times New Roman" w:hAnsi="Times New Roman" w:cs="Times New Roman"/>
          <w:sz w:val="24"/>
          <w:szCs w:val="24"/>
        </w:rPr>
        <w:t>a posição d</w:t>
      </w:r>
      <w:r w:rsidR="001A112C">
        <w:rPr>
          <w:rFonts w:ascii="Times New Roman" w:hAnsi="Times New Roman" w:cs="Times New Roman"/>
          <w:sz w:val="24"/>
          <w:szCs w:val="24"/>
        </w:rPr>
        <w:t>o objeto na sequência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AF9042" w14:textId="77777777" w:rsidR="00C83418" w:rsidRDefault="00D4445F" w:rsidP="00E5257B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Sobretudo no início da escolarização, o desenvolvimento adequado da quantificação e da contagem permitem à criança chegar ao entendimento pleno do conceito de número</w:t>
      </w:r>
      <w:r w:rsidR="00C83418">
        <w:rPr>
          <w:rFonts w:ascii="Times New Roman" w:hAnsi="Times New Roman" w:cs="Times New Roman"/>
          <w:sz w:val="24"/>
          <w:szCs w:val="24"/>
        </w:rPr>
        <w:t xml:space="preserve"> e das operações aritméticas elementares. </w:t>
      </w:r>
    </w:p>
    <w:p w14:paraId="114DBBFF" w14:textId="42A99A5C" w:rsidR="00D6169F" w:rsidRDefault="000779B0" w:rsidP="00E5257B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estudo de Chapin e Johnson (2006) apresenta resultados que indicam que uma das primeiras estratégias mentais que as crianças utilizam para resolver problemas aditivos é a</w:t>
      </w:r>
      <w:r w:rsidR="00D4445F">
        <w:rPr>
          <w:rFonts w:ascii="Times New Roman" w:hAnsi="Times New Roman" w:cs="Times New Roman"/>
          <w:sz w:val="24"/>
          <w:szCs w:val="24"/>
        </w:rPr>
        <w:t xml:space="preserve"> contagem</w:t>
      </w:r>
      <w:r>
        <w:rPr>
          <w:rFonts w:ascii="Times New Roman" w:hAnsi="Times New Roman" w:cs="Times New Roman"/>
          <w:sz w:val="24"/>
          <w:szCs w:val="24"/>
        </w:rPr>
        <w:t xml:space="preserve">.  A partir da contagem, outras estratégias mais complexas se desenvolvem, culminando </w:t>
      </w:r>
      <w:r w:rsidR="007729C0">
        <w:rPr>
          <w:rFonts w:ascii="Times New Roman" w:hAnsi="Times New Roman" w:cs="Times New Roman"/>
          <w:sz w:val="24"/>
          <w:szCs w:val="24"/>
        </w:rPr>
        <w:t>em procedimentos mentais gradativamente mais sofisticados</w:t>
      </w:r>
      <w:r>
        <w:rPr>
          <w:rFonts w:ascii="Times New Roman" w:hAnsi="Times New Roman" w:cs="Times New Roman"/>
          <w:sz w:val="24"/>
          <w:szCs w:val="24"/>
        </w:rPr>
        <w:t>, como os algoritmos envolvendo o sistema numérico decimal</w:t>
      </w:r>
      <w:r w:rsidR="007729C0">
        <w:rPr>
          <w:rFonts w:ascii="Times New Roman" w:hAnsi="Times New Roman" w:cs="Times New Roman"/>
          <w:sz w:val="24"/>
          <w:szCs w:val="24"/>
        </w:rPr>
        <w:t>, por exemplo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6C2C75" w14:textId="2D8F77AE" w:rsidR="00E664A2" w:rsidRDefault="001837F3" w:rsidP="00E5257B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Poderíamos questionar: </w:t>
      </w:r>
      <w:r w:rsidR="00A37392">
        <w:rPr>
          <w:rFonts w:ascii="Times New Roman" w:hAnsi="Times New Roman" w:cs="Times New Roman"/>
          <w:sz w:val="24"/>
          <w:szCs w:val="24"/>
        </w:rPr>
        <w:t xml:space="preserve">mas </w:t>
      </w:r>
      <w:r>
        <w:rPr>
          <w:rFonts w:ascii="Times New Roman" w:hAnsi="Times New Roman" w:cs="Times New Roman"/>
          <w:sz w:val="24"/>
          <w:szCs w:val="24"/>
        </w:rPr>
        <w:t xml:space="preserve">a quantificação e a contagem não seriam a mesma coisa? Afinal, para quantificar não é necessário contar? Nem sempre. A existência dos números perceptuais ilustram esta distinção conceitual entre quantificação e contagem. </w:t>
      </w:r>
      <w:r w:rsidR="00E664A2">
        <w:rPr>
          <w:rFonts w:ascii="Times New Roman" w:hAnsi="Times New Roman" w:cs="Times New Roman"/>
          <w:sz w:val="24"/>
          <w:szCs w:val="24"/>
        </w:rPr>
        <w:t>Segundo Kamii (2012, p. 11-12)</w:t>
      </w:r>
      <w:r w:rsidR="00D6169F">
        <w:rPr>
          <w:rFonts w:ascii="Times New Roman" w:hAnsi="Times New Roman" w:cs="Times New Roman"/>
          <w:sz w:val="24"/>
          <w:szCs w:val="24"/>
        </w:rPr>
        <w:t>, os números perceptuais são aqueles que nos permitem quantificar objetos</w:t>
      </w:r>
      <w:r>
        <w:rPr>
          <w:rFonts w:ascii="Times New Roman" w:hAnsi="Times New Roman" w:cs="Times New Roman"/>
          <w:sz w:val="24"/>
          <w:szCs w:val="24"/>
        </w:rPr>
        <w:t xml:space="preserve"> a partir apenas da percepção imediata da visão, isto é,</w:t>
      </w:r>
      <w:r w:rsidR="00D6169F">
        <w:rPr>
          <w:rFonts w:ascii="Times New Roman" w:hAnsi="Times New Roman" w:cs="Times New Roman"/>
          <w:sz w:val="24"/>
          <w:szCs w:val="24"/>
        </w:rPr>
        <w:t xml:space="preserve"> sem a necessidade do uso da contagem. </w:t>
      </w:r>
    </w:p>
    <w:p w14:paraId="3C213C4D" w14:textId="29DF8DAC" w:rsidR="00D07EEC" w:rsidRDefault="00B656E4" w:rsidP="00E5257B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pesquisa de Beck e Silva (2017)</w:t>
      </w:r>
      <w:r w:rsidR="001E110A">
        <w:rPr>
          <w:rFonts w:ascii="Times New Roman" w:hAnsi="Times New Roman" w:cs="Times New Roman"/>
          <w:sz w:val="24"/>
          <w:szCs w:val="24"/>
        </w:rPr>
        <w:t>, os autores ressaltam que nas pesquisas sobre as estratégias utilizadas por crianças para agir em problemas aditivos</w:t>
      </w:r>
      <w:r w:rsidR="00132267">
        <w:rPr>
          <w:rFonts w:ascii="Times New Roman" w:hAnsi="Times New Roman" w:cs="Times New Roman"/>
          <w:sz w:val="24"/>
          <w:szCs w:val="24"/>
        </w:rPr>
        <w:t>, muitos autores têm adotado</w:t>
      </w:r>
      <w:r w:rsidR="00A730D5">
        <w:rPr>
          <w:rFonts w:ascii="Times New Roman" w:hAnsi="Times New Roman" w:cs="Times New Roman"/>
          <w:sz w:val="24"/>
          <w:szCs w:val="24"/>
        </w:rPr>
        <w:t>, em geral, teorias construtivistas para explicar a aprendizagem das operações aritméticas básicas, e além disso, ratificam os estudos de Chapin e Johnson (2006) no que diz respeito ao fato d</w:t>
      </w:r>
      <w:r w:rsidR="00132267">
        <w:rPr>
          <w:rFonts w:ascii="Times New Roman" w:hAnsi="Times New Roman" w:cs="Times New Roman"/>
          <w:sz w:val="24"/>
          <w:szCs w:val="24"/>
        </w:rPr>
        <w:t>e a</w:t>
      </w:r>
      <w:r w:rsidR="00A730D5">
        <w:rPr>
          <w:rFonts w:ascii="Times New Roman" w:hAnsi="Times New Roman" w:cs="Times New Roman"/>
          <w:sz w:val="24"/>
          <w:szCs w:val="24"/>
        </w:rPr>
        <w:t xml:space="preserve"> contagem ser uma estratégia inicial</w:t>
      </w:r>
      <w:r w:rsidR="008D0F65">
        <w:rPr>
          <w:rFonts w:ascii="Times New Roman" w:hAnsi="Times New Roman" w:cs="Times New Roman"/>
          <w:sz w:val="24"/>
          <w:szCs w:val="24"/>
        </w:rPr>
        <w:t>.</w:t>
      </w:r>
    </w:p>
    <w:p w14:paraId="6B35F81A" w14:textId="4D265839" w:rsidR="008D0F65" w:rsidRDefault="008D0F65" w:rsidP="00E5257B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sentido, é muito importante compreendermos como os jogos digitais podem ajudar no trabalho pedagógico de desenvo</w:t>
      </w:r>
      <w:r w:rsidR="00132267">
        <w:rPr>
          <w:rFonts w:ascii="Times New Roman" w:hAnsi="Times New Roman" w:cs="Times New Roman"/>
          <w:sz w:val="24"/>
          <w:szCs w:val="24"/>
        </w:rPr>
        <w:t>lver</w:t>
      </w:r>
      <w:r>
        <w:rPr>
          <w:rFonts w:ascii="Times New Roman" w:hAnsi="Times New Roman" w:cs="Times New Roman"/>
          <w:sz w:val="24"/>
          <w:szCs w:val="24"/>
        </w:rPr>
        <w:t xml:space="preserve"> as noções de quantificar e contar com crianças dos anos iniciais do Ensino Fundamental.</w:t>
      </w:r>
    </w:p>
    <w:p w14:paraId="37DAAC1D" w14:textId="77777777" w:rsidR="00D325C5" w:rsidRPr="00D325C5" w:rsidRDefault="00D325C5" w:rsidP="00D325C5">
      <w:pPr>
        <w:suppressAutoHyphens w:val="0"/>
        <w:spacing w:after="0"/>
        <w:ind w:firstLine="550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5B09B198" w14:textId="11E46462" w:rsidR="00D325C5" w:rsidRPr="00D325C5" w:rsidRDefault="00E5257B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lastRenderedPageBreak/>
        <w:t>3</w:t>
      </w:r>
      <w:r w:rsidR="00D325C5"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. REFERENCIAL TEÓRICO</w:t>
      </w:r>
    </w:p>
    <w:p w14:paraId="1DEF04FD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47CB99FE" w14:textId="38643F07" w:rsidR="008D0F65" w:rsidRDefault="005A2218" w:rsidP="00D325C5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uso de jogos digitais na internet é um fenômeno relativamente recente e para compreendê-lo, precisamos recorrer a intelectuais que abo</w:t>
      </w:r>
      <w:r w:rsidR="005A398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dam o tema das tecnologias e suas consequências socioculturais. Tendo isto em vista, considerou-se como referencial teórico neste trabalho as proposições apresentadas pelo filósofo Pierre Lévy em seu livro Cibercultura (LÉVY, 2010).</w:t>
      </w:r>
    </w:p>
    <w:p w14:paraId="7C26C0B3" w14:textId="63E79EFF" w:rsidR="00D325C5" w:rsidRDefault="008D0F65" w:rsidP="00D325C5">
      <w:pPr>
        <w:pStyle w:val="ResumoRev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25C5">
        <w:rPr>
          <w:rFonts w:ascii="Times New Roman" w:hAnsi="Times New Roman" w:cs="Times New Roman"/>
          <w:sz w:val="24"/>
          <w:szCs w:val="24"/>
        </w:rPr>
        <w:t>Para</w:t>
      </w:r>
      <w:r w:rsidR="00D325C5" w:rsidRPr="00251D0B">
        <w:rPr>
          <w:rFonts w:ascii="Times New Roman" w:hAnsi="Times New Roman" w:cs="Times New Roman"/>
          <w:sz w:val="24"/>
          <w:szCs w:val="24"/>
        </w:rPr>
        <w:t xml:space="preserve"> Lévy (20</w:t>
      </w:r>
      <w:r w:rsidR="000E5FA5">
        <w:rPr>
          <w:rFonts w:ascii="Times New Roman" w:hAnsi="Times New Roman" w:cs="Times New Roman"/>
          <w:sz w:val="24"/>
          <w:szCs w:val="24"/>
        </w:rPr>
        <w:t>1</w:t>
      </w:r>
      <w:r w:rsidR="00D325C5" w:rsidRPr="00251D0B">
        <w:rPr>
          <w:rFonts w:ascii="Times New Roman" w:hAnsi="Times New Roman" w:cs="Times New Roman"/>
          <w:sz w:val="24"/>
          <w:szCs w:val="24"/>
        </w:rPr>
        <w:t>0), a cibercultura se caracteriza pela interconexão entre diversos indivíduos (independentemente da localização geográfica), pela formação das comunidades virtuais (decorrente da interconexão) e pelo surgimento de uma inteligência coletiva, que se constitui pelos saberes que extrapolam a condição individual de autoria, possibilitando a produção de conhecimentos compartilhados.</w:t>
      </w:r>
    </w:p>
    <w:p w14:paraId="7664D692" w14:textId="77777777" w:rsidR="008D0F65" w:rsidRDefault="008D0F65" w:rsidP="00D325C5">
      <w:pPr>
        <w:pStyle w:val="V-SIPEM-Pargrafos"/>
        <w:spacing w:line="240" w:lineRule="auto"/>
        <w:ind w:left="2268" w:firstLine="0"/>
        <w:rPr>
          <w:sz w:val="22"/>
          <w:szCs w:val="22"/>
        </w:rPr>
      </w:pPr>
    </w:p>
    <w:p w14:paraId="382BAED5" w14:textId="742CD142" w:rsidR="00D325C5" w:rsidRDefault="00D325C5" w:rsidP="00D325C5">
      <w:pPr>
        <w:pStyle w:val="V-SIPEM-Pargrafos"/>
        <w:spacing w:line="240" w:lineRule="auto"/>
        <w:ind w:left="2268" w:firstLine="0"/>
        <w:rPr>
          <w:sz w:val="22"/>
          <w:szCs w:val="22"/>
        </w:rPr>
      </w:pPr>
      <w:r>
        <w:rPr>
          <w:sz w:val="22"/>
          <w:szCs w:val="22"/>
        </w:rPr>
        <w:t>O programa da cibercultura é o universal sem totalidade. Universal, já que a interconexão deve ser não apenas mundial, mas quer também atingir a compatibilidade ou interoperabilidade generalizada. Universal, pois no limite ideal do programa da cibercultura qualquer um deve poder acessar de qualquer lugar as diversas comunidades virtuais e seus produtos. Universal, enfim, já que o programa da inteligência coletiva diz respeito tanto às empresas quanto às escolas, às regiões geográficas como às associações internacionais. O ciberespaço surge como a ferramenta de organização de comunidades de todos os tipos e de todos os tamanhos de coletivos inteligentes, mas também como o instrumento que permite aos coletivos inteligentes articularem-se entre si. Deste ponto em diante, são as mesmas ferramentas materiais e de software que suportam a política interna e a política externa da inteligência coletiva: Internet e Intranet. (LEVY, 20</w:t>
      </w:r>
      <w:r w:rsidR="000E5FA5">
        <w:rPr>
          <w:sz w:val="22"/>
          <w:szCs w:val="22"/>
        </w:rPr>
        <w:t>1</w:t>
      </w:r>
      <w:r>
        <w:rPr>
          <w:sz w:val="22"/>
          <w:szCs w:val="22"/>
        </w:rPr>
        <w:t>0, p. 135</w:t>
      </w:r>
      <w:r w:rsidRPr="00F80BAF">
        <w:rPr>
          <w:sz w:val="22"/>
          <w:szCs w:val="22"/>
        </w:rPr>
        <w:t>).</w:t>
      </w:r>
    </w:p>
    <w:p w14:paraId="3AC35F53" w14:textId="77777777" w:rsidR="008D0F65" w:rsidRPr="00251D0B" w:rsidRDefault="008D0F65" w:rsidP="00D325C5">
      <w:pPr>
        <w:pStyle w:val="V-SIPEM-Pargrafos"/>
        <w:spacing w:line="240" w:lineRule="auto"/>
        <w:ind w:left="2268" w:firstLine="0"/>
        <w:rPr>
          <w:sz w:val="22"/>
          <w:szCs w:val="22"/>
        </w:rPr>
      </w:pPr>
    </w:p>
    <w:p w14:paraId="5E765A3C" w14:textId="1E9FE309" w:rsid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Segundo Lévy (2010), uma das formas de aprendizagem advindas do novo aparato digital é a aprendizagem por simulação. </w:t>
      </w:r>
      <w:r w:rsidR="005A398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Para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ele, a simulação “trata-se de uma tecnologia intelectual que amplifica a imaginação individual (aumento da inteligência) e permite aos grupos que compartilhem, negociem e refinem modelos mentais comuns” (LÉVY, 2010, p. 167).</w:t>
      </w:r>
      <w:r w:rsidR="005A2218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</w:t>
      </w:r>
      <w:r w:rsidR="005A2218" w:rsidRPr="00251D0B">
        <w:rPr>
          <w:rFonts w:ascii="Times New Roman" w:hAnsi="Times New Roman" w:cs="Times New Roman"/>
        </w:rPr>
        <w:t xml:space="preserve">Os </w:t>
      </w:r>
      <w:r w:rsidR="005A2218">
        <w:rPr>
          <w:rFonts w:ascii="Times New Roman" w:hAnsi="Times New Roman" w:cs="Times New Roman"/>
        </w:rPr>
        <w:t>jogos digitais</w:t>
      </w:r>
      <w:r w:rsidR="005A2218" w:rsidRPr="00251D0B">
        <w:rPr>
          <w:rFonts w:ascii="Times New Roman" w:hAnsi="Times New Roman" w:cs="Times New Roman"/>
        </w:rPr>
        <w:t xml:space="preserve"> são ferramentas pedagógicas que podem ter uma importância muito grande nos processos de aprendizagem e de surgimento de inteligências coletiva</w:t>
      </w:r>
      <w:r w:rsidR="005A2218">
        <w:rPr>
          <w:rFonts w:ascii="Times New Roman" w:hAnsi="Times New Roman" w:cs="Times New Roman"/>
        </w:rPr>
        <w:t>s. Pretende-se, com este trabalho</w:t>
      </w:r>
      <w:r w:rsidR="005A2218" w:rsidRPr="00251D0B">
        <w:rPr>
          <w:rFonts w:ascii="Times New Roman" w:hAnsi="Times New Roman" w:cs="Times New Roman"/>
        </w:rPr>
        <w:t>, analisar a extensão desta importância, em termos de amplificação da capacidade de memória e imaginação do sujeito que aprende.</w:t>
      </w:r>
    </w:p>
    <w:p w14:paraId="29A3066A" w14:textId="77777777" w:rsidR="005A2218" w:rsidRPr="00D325C5" w:rsidRDefault="005A2218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6BC2C0F0" w14:textId="4C7C192F" w:rsidR="00D325C5" w:rsidRPr="00D325C5" w:rsidRDefault="00E5257B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4</w:t>
      </w:r>
      <w:r w:rsidR="00D325C5"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. METODOLOGIA</w:t>
      </w:r>
    </w:p>
    <w:p w14:paraId="29709992" w14:textId="77777777" w:rsidR="00D325C5" w:rsidRPr="00D325C5" w:rsidRDefault="00D325C5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5FC03C8C" w14:textId="545E0453" w:rsidR="00D325C5" w:rsidRP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O site </w:t>
      </w:r>
      <w:r w:rsidR="000218C3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Escola Games (2021)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possui acesso livre na internet e disponibiliza jogos educativos para crianças a partir dos cinco anos de idade. Todos os jogos possuem alguma relação com os conteúdos escolares da Educação Infantil e com os anos iniciais do Ensino Fundamental. Ao escolher um jogo, o usuário pode, inclusive, filtrar as opções, de acordo com a área do conhecimento, podendo escolher entre as seguintes: Artes, Ciências, Educação Física, Espanhol, Geografia, História, Inglês, Italiano, Língua Portuguesa e Matemática.</w:t>
      </w:r>
    </w:p>
    <w:p w14:paraId="6CDF9DC6" w14:textId="16AA365F" w:rsidR="00D325C5" w:rsidRP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Nesta pesquisa analisa-se os 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jogos digitais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do site </w:t>
      </w:r>
      <w:r w:rsidR="000218C3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Escola Games (2021)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, identificando-se a relação entre alguns</w:t>
      </w:r>
      <w:r w:rsidR="00451273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dos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jogos 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com as competências previstas na BNCC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(2017/2018)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no que diz respeito à habilidade inicial de contagem. Para isto, construiu-se um quadro</w:t>
      </w:r>
      <w:r w:rsidR="009B501F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(Quadro 1 da seção de Resultados e Discussão)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em duas colunas, na primeira identificando o 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jogo digital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(ou 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jogo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s em um dos casos) e na segunda apresentando a habilidade da BNCC (20</w:t>
      </w:r>
      <w:r w:rsidR="00003A4B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17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/2018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) correspondente.</w:t>
      </w:r>
    </w:p>
    <w:p w14:paraId="59B4A9BE" w14:textId="502EB518" w:rsid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A análise dos resultados foi realizada a partir do referencial teórico provindo da obra de Lévy (2010), com foco especial no conceito de aprendizagem por simulação. Nesse sentido, pode-se dizer que a pesquisa é parcialmente documental, tal como descrita por Kripka</w:t>
      </w:r>
      <w:r w:rsidR="00451273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, Scheller e Bonotto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(2015), já que envolve análise de um documento que é fonte primária, embora também apresente traços de um estudo exploratório, no sentido de Gil (2008)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, </w:t>
      </w:r>
      <w:r w:rsidR="009B501F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pois</w:t>
      </w:r>
      <w:r w:rsidR="007B607E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 xml:space="preserve"> explora uma discussão a respeito da aprendizagem por simulação a partir da análise </w:t>
      </w:r>
      <w:r w:rsidR="002037E6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dos jogos digitais do ambiente digital Escola Games (2021)</w:t>
      </w:r>
      <w:r w:rsidRPr="00D325C5"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  <w:t>.</w:t>
      </w:r>
    </w:p>
    <w:p w14:paraId="02E0BEC3" w14:textId="77777777" w:rsidR="00D325C5" w:rsidRP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0302DF10" w14:textId="3A84F365" w:rsidR="00D325C5" w:rsidRPr="00D325C5" w:rsidRDefault="00E5257B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5</w:t>
      </w:r>
      <w:r w:rsidR="00D325C5"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. RESULTADOS E DISCUSSÃO</w:t>
      </w:r>
    </w:p>
    <w:p w14:paraId="20342057" w14:textId="77777777" w:rsidR="00D325C5" w:rsidRPr="00D325C5" w:rsidRDefault="00D325C5" w:rsidP="00D325C5">
      <w:pPr>
        <w:suppressAutoHyphens w:val="0"/>
        <w:spacing w:after="0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0AC96493" w14:textId="4B9990BF" w:rsid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Nesta seção são apresentados e discutidos os resultados da pesquisa. Oito jogos digitais do </w:t>
      </w:r>
      <w:r w:rsidR="00DD4B4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ambiente </w:t>
      </w:r>
      <w:r w:rsidR="000218C3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Escola Games (2021)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possuem relação com o desenvolvimento da habilidade de contar</w:t>
      </w:r>
      <w:r w:rsidR="00C84E62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conforme a análise realizada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  <w:r w:rsidR="00CE047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 seguir apresenta-se cada um deles. </w:t>
      </w:r>
    </w:p>
    <w:p w14:paraId="22CE89AD" w14:textId="280E7E27" w:rsidR="00D325C5" w:rsidRDefault="00CE0476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 xml:space="preserve">Na Figura 1 </w:t>
      </w:r>
      <w:r w:rsidR="00EF7A9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ilustra</w:t>
      </w:r>
      <w:r w:rsidR="00DD4B4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-se</w:t>
      </w:r>
      <w:r w:rsidR="00EF7A9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o contexto das atividades proposta</w:t>
      </w:r>
      <w:r w:rsidR="00DD4B4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s</w:t>
      </w:r>
      <w:r w:rsidR="00EF7A9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n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o jogo digital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Eu Sei contar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que consis</w:t>
      </w:r>
      <w:r w:rsidR="00B836C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te basicamente em quantificar os objetos que aparecem na tela e indicar qual o numeral (representação da quantidade) </w:t>
      </w:r>
      <w:r w:rsidR="00DA0B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está associado a eles</w:t>
      </w:r>
      <w:r w:rsidR="00B836C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158834F6" w14:textId="77777777" w:rsidR="00BA510C" w:rsidRDefault="00BA510C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5FEE8FD5" w14:textId="17DEDFD9" w:rsidR="00D325C5" w:rsidRPr="00D325C5" w:rsidRDefault="00D325C5" w:rsidP="00D325C5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Figura 1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 w:rsidR="006C16F9"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Eu Sei</w:t>
      </w:r>
      <w:r w:rsidRPr="00D325C5"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 xml:space="preserve"> Contar</w:t>
      </w:r>
    </w:p>
    <w:p w14:paraId="5E10D07E" w14:textId="205DA7B0" w:rsidR="00D325C5" w:rsidRPr="00D325C5" w:rsidRDefault="000028B3" w:rsidP="00D325C5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drawing>
          <wp:inline distT="0" distB="0" distL="0" distR="0" wp14:anchorId="1BC9C611" wp14:editId="44DC6D27">
            <wp:extent cx="5476875" cy="3190875"/>
            <wp:effectExtent l="19050" t="19050" r="28575" b="285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9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B641D" w14:textId="5115111D" w:rsidR="00D325C5" w:rsidRPr="0067415E" w:rsidRDefault="00D325C5" w:rsidP="00D325C5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Fonte: adaptado de Escola Games (202</w:t>
      </w:r>
      <w:r w:rsidR="001702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1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).</w:t>
      </w:r>
    </w:p>
    <w:p w14:paraId="23DC8D6B" w14:textId="07B5518D" w:rsidR="00D325C5" w:rsidRDefault="00D325C5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5F20268C" w14:textId="3F5BD00B" w:rsidR="000203F8" w:rsidRDefault="00551E94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Apesar d</w:t>
      </w:r>
      <w:r w:rsidR="00D6535B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o nome do jogo ser </w:t>
      </w:r>
      <w:r w:rsidR="00D6535B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Eu Sei Contar</w:t>
      </w:r>
      <w:r w:rsidR="00D6535B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podemos notar que a principal habilidade exigida</w:t>
      </w:r>
      <w:r w:rsidR="00454434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é </w:t>
      </w:r>
      <w:r w:rsidR="009C1D4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a </w:t>
      </w:r>
      <w:r w:rsidR="00454434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de quantificação, isto é, a de associar um </w:t>
      </w:r>
      <w:r w:rsidR="001C150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código a determinada quantidade. A contagem pode ser utilizada como um processo intermediário, sobretudo </w:t>
      </w:r>
      <w:r w:rsidR="00161B8A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para ordens de grandezas além dos números percept</w:t>
      </w:r>
      <w:r w:rsidR="009B1C2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uais</w:t>
      </w:r>
      <w:r w:rsidR="00BE79D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(KAMII</w:t>
      </w:r>
      <w:r w:rsidR="009B1C2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2012</w:t>
      </w:r>
      <w:r w:rsidR="00BE79D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)</w:t>
      </w:r>
      <w:r w:rsidR="000203F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ou seja, para mais do que sete ou oito objetos</w:t>
      </w:r>
      <w:r w:rsidR="00161B8A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66A3A4C3" w14:textId="2B3BB68D" w:rsidR="00E8528D" w:rsidRDefault="000203F8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Sendo assim, embora para alguns casos este jogo possa estar re</w:t>
      </w:r>
      <w:r w:rsidR="00593B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la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cionado com a contagem, ele pde ajudar a desenvolver, principalmente a habilidade </w:t>
      </w:r>
      <w:r w:rsidR="00E8528D" w:rsidRPr="00E8528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EF01MA01 - Utilizar números naturais como indicador de quantidade ou de ordem em diferentes situações cotidianas e reconhecer situações em que os números não indicam contagem nem ordem, mas sim código de identificação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(BNCC, 2017/2018)</w:t>
      </w:r>
      <w:r w:rsidR="00E8528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5AF6AA52" w14:textId="5DA036BC" w:rsidR="008A293B" w:rsidRPr="002E324C" w:rsidRDefault="008A293B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 xml:space="preserve">A Figura 2 apresenta o jogo digial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Aprenda a Contar</w:t>
      </w:r>
      <w:r w:rsidR="002E324C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que consiste basicamente na contagem progressiva e unitária de pulos que o pernonagem principal do jogo, um coelho, realiza enquando seus amigos, ursos,  seguram a corda.</w:t>
      </w:r>
    </w:p>
    <w:p w14:paraId="6ED225C5" w14:textId="77777777" w:rsidR="006C16F9" w:rsidRDefault="006C16F9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0EFFF62C" w14:textId="58C2373B" w:rsidR="006C16F9" w:rsidRPr="00D325C5" w:rsidRDefault="006C16F9" w:rsidP="006C16F9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 xml:space="preserve">Figura </w:t>
      </w:r>
      <w:r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2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 w:rsidRPr="00D325C5"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Aprenda a Contar</w:t>
      </w:r>
    </w:p>
    <w:p w14:paraId="0C93B65A" w14:textId="77777777" w:rsidR="006C16F9" w:rsidRPr="00D325C5" w:rsidRDefault="006C16F9" w:rsidP="006C16F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color w:val="auto"/>
          <w:kern w:val="0"/>
          <w:lang w:eastAsia="pt-BR"/>
        </w:rPr>
        <w:drawing>
          <wp:inline distT="0" distB="0" distL="0" distR="0" wp14:anchorId="5CFB9DC7" wp14:editId="0BADF4A7">
            <wp:extent cx="4695825" cy="3446291"/>
            <wp:effectExtent l="19050" t="19050" r="9525" b="209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54" cy="381370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C74F4C" w14:textId="2ADF5DDE" w:rsidR="006C16F9" w:rsidRPr="0067415E" w:rsidRDefault="006C16F9" w:rsidP="006C16F9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 xml:space="preserve">Fonte: adaptado de </w:t>
      </w:r>
      <w:r w:rsidR="000218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Escola Games (2021)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.</w:t>
      </w:r>
    </w:p>
    <w:p w14:paraId="0E39DDB8" w14:textId="77777777" w:rsidR="006C16F9" w:rsidRPr="00D325C5" w:rsidRDefault="006C16F9" w:rsidP="006C1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3B6B7328" w14:textId="5E4B0F87" w:rsidR="006C16F9" w:rsidRDefault="00FD7DBB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Este jogo é um exemplo de amplificação da imaginaçã</w:t>
      </w:r>
      <w:r w:rsidR="0082253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o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individual</w:t>
      </w:r>
      <w:r w:rsidR="0082253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provocada por ferramentas digitais</w:t>
      </w:r>
      <w:r w:rsidR="006C16F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Ao exercitar</w:t>
      </w:r>
      <w:r w:rsidR="0082253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(ou aprender)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</w:t>
      </w:r>
      <w:r w:rsidR="0082253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o procedimento</w:t>
      </w:r>
      <w:r w:rsidR="00A0475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mental</w:t>
      </w:r>
      <w:r w:rsidR="0082253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de contar, o estudante que experimenta o jogo da Figura 2 pode também contribuir para a criação de uma inteligência coletiva, no sentido de que cria uma cultura d</w:t>
      </w:r>
      <w:r w:rsidR="00A0475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</w:t>
      </w:r>
      <w:r w:rsidR="0082253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aprendizagem da contagem, uma forma de tornar concreto, uma criação cultural abstrata, que é a representação numérica para determinar posições em sequências.</w:t>
      </w:r>
    </w:p>
    <w:p w14:paraId="48649802" w14:textId="292F0F9B" w:rsidR="00CA09A6" w:rsidRDefault="0082253E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O jogo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Aprenda a Contar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pode ajudar a desenvolver a habilidade </w:t>
      </w:r>
      <w:r w:rsidR="00CA09A6" w:rsidRPr="00CA09A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EF01MA02 - Contar de maneira exata ou aproximada, utilizando diferentes estratégias como o pareamento e outros agrupamentos</w:t>
      </w:r>
      <w:r w:rsidR="006D4C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(BNCC, 2017/2018)</w:t>
      </w:r>
      <w:r w:rsidR="00CA09A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0D7685F4" w14:textId="13D44B4D" w:rsidR="005722A7" w:rsidRPr="005722A7" w:rsidRDefault="00710741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>No</w:t>
      </w:r>
      <w:r w:rsidR="005722A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jogo digital </w:t>
      </w:r>
      <w:r w:rsidR="005722A7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Coelho da Páscoa</w:t>
      </w:r>
      <w:r w:rsidR="005722A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, ilustrado pela Figura 3, 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o usuário deve acertar os ovinhos de páscoa, e cada vez que consegue cumprir este obetivo, </w:t>
      </w:r>
      <w:r w:rsidR="00A6773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a contagem na parte superior da tela é incrementada.</w:t>
      </w:r>
    </w:p>
    <w:p w14:paraId="02E0ACDD" w14:textId="77777777" w:rsidR="006C16F9" w:rsidRDefault="006C16F9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00544CDE" w14:textId="1BA9DC0E" w:rsidR="006C16F9" w:rsidRPr="00D325C5" w:rsidRDefault="006C16F9" w:rsidP="006C16F9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 xml:space="preserve">Figura </w:t>
      </w:r>
      <w:r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3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Coelho da Páscoa</w:t>
      </w:r>
    </w:p>
    <w:p w14:paraId="3D158511" w14:textId="41721919" w:rsidR="006C16F9" w:rsidRPr="00D325C5" w:rsidRDefault="00DE3D9F" w:rsidP="006C16F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drawing>
          <wp:inline distT="0" distB="0" distL="0" distR="0" wp14:anchorId="385CBCCC" wp14:editId="29D56ACF">
            <wp:extent cx="5476875" cy="3267075"/>
            <wp:effectExtent l="19050" t="19050" r="28575" b="285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67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9EB249" w14:textId="44389C4B" w:rsidR="006C16F9" w:rsidRPr="0067415E" w:rsidRDefault="006C16F9" w:rsidP="006C16F9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 xml:space="preserve">Fonte: adaptado de </w:t>
      </w:r>
      <w:r w:rsidR="000218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Escola Games (2021)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.</w:t>
      </w:r>
    </w:p>
    <w:p w14:paraId="4C2A97A6" w14:textId="77777777" w:rsidR="006C16F9" w:rsidRPr="00D325C5" w:rsidRDefault="006C16F9" w:rsidP="006C1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23B1C4AF" w14:textId="72F0202C" w:rsidR="006C16F9" w:rsidRDefault="00D94336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Uma inteligência coletiva produzida por professores e crianças especificamente </w:t>
      </w:r>
      <w:r w:rsidR="004E64B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para aprender e/ou ensinar o processo de contagem pode ser amplamente mediada por jogos digitais como </w:t>
      </w:r>
      <w:r w:rsidR="004E64B5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Coelho da Páscoa</w:t>
      </w:r>
      <w:r w:rsidR="004E64B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uma vez que o jogo inteiro tem a ver com relacionar os numerais com a ordem dos ovos acertados pelo usuário</w:t>
      </w:r>
      <w:r w:rsidR="006C16F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3890787D" w14:textId="3661C4F6" w:rsidR="00CA09A6" w:rsidRDefault="004E64B5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A amplificação da imaginação individual é uma característica marcante da utilização deste jogo digital, pois não há necessidade de nenhuma</w:t>
      </w:r>
      <w:r w:rsidR="00111C5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de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complementação concreta </w:t>
      </w:r>
      <w:r w:rsidR="00111C5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exterior para 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agir no jogo, todos os recursos cognitivos necessários de contagem estão presentes no jogo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Coelho da Páscoa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, que pode auxiliar no desenvolvimento da habilidade </w:t>
      </w:r>
      <w:r w:rsidR="00CA09A6" w:rsidRPr="00CA09A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EF01MA02 - Contar de maneira exata ou aproximada, utilizando diferentes estratégias como o pareamento e outros agrupamentos</w:t>
      </w:r>
      <w:r w:rsidR="006D4C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(BNCC, 2017/2018)</w:t>
      </w:r>
      <w:r w:rsidR="00CA09A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1600A561" w14:textId="702C0FF5" w:rsidR="007B23CA" w:rsidRPr="007B23CA" w:rsidRDefault="007B23CA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>A Figura 4</w:t>
      </w:r>
      <w:r w:rsidR="00A729B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 seguir</w:t>
      </w:r>
      <w:r w:rsidR="00A729B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apresenta o jogo digital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Zoo Louco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que consiste na contagem de animais que se deslocam na tela, a partir de uma especificação. Por exemplo,</w:t>
      </w:r>
      <w:r w:rsidR="00C77E7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pode aparecer na tela várias espécies de animais correndo, e em seguida, surgir a pergunta: “Quantas ZEBRAS passaram por aqui?”, e o usuário deve indicar a quantidade de zebras que conseguiu contar.</w:t>
      </w:r>
    </w:p>
    <w:p w14:paraId="75D33115" w14:textId="77777777" w:rsidR="006C16F9" w:rsidRDefault="006C16F9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508F9DAF" w14:textId="59805B24" w:rsidR="006C16F9" w:rsidRPr="00D325C5" w:rsidRDefault="006C16F9" w:rsidP="006C16F9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 xml:space="preserve">Figura </w:t>
      </w:r>
      <w:r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4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Zoo Louco</w:t>
      </w:r>
    </w:p>
    <w:p w14:paraId="30A1143F" w14:textId="7C962A7F" w:rsidR="006C16F9" w:rsidRPr="00D325C5" w:rsidRDefault="00D179B9" w:rsidP="006C16F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drawing>
          <wp:inline distT="0" distB="0" distL="0" distR="0" wp14:anchorId="1C49501D" wp14:editId="3C8AD548">
            <wp:extent cx="5476875" cy="3352800"/>
            <wp:effectExtent l="19050" t="19050" r="28575" b="190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928E47" w14:textId="463AB044" w:rsidR="006C16F9" w:rsidRPr="0067415E" w:rsidRDefault="006C16F9" w:rsidP="006C16F9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 xml:space="preserve">Fonte: adaptado de </w:t>
      </w:r>
      <w:r w:rsidR="000218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Escola Games (2021)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.</w:t>
      </w:r>
    </w:p>
    <w:p w14:paraId="47690805" w14:textId="77777777" w:rsidR="006C16F9" w:rsidRPr="00D325C5" w:rsidRDefault="006C16F9" w:rsidP="006C1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0F6E890F" w14:textId="265AD30D" w:rsidR="00CA09A6" w:rsidRDefault="003F6A8D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Na descrição do jogo no site Escola Games (2021), nota-se que ele é indicado para crianças com idade entre 4 e 5 anos</w:t>
      </w:r>
      <w:r w:rsidR="006C16F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No entanto, nada impede que o processo de contagem seja retomado e/ou consolidado nos anos iniciais do Ensino Fundamental</w:t>
      </w:r>
      <w:r w:rsidR="00AB7A0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. O jogo digital </w:t>
      </w:r>
      <w:r w:rsidR="00AB7A09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Zoo Louco</w:t>
      </w:r>
      <w:r w:rsidR="00AB7A0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pode ser utilizado para desenvolver a hablidade do primeiro ano do Ensino Fudnamental de código </w:t>
      </w:r>
      <w:r w:rsidR="00CA09A6" w:rsidRPr="00CA09A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EF01MA02 - Contar de maneira exata ou aproximada, utilizando diferentes estratégias como o pareamento e outros agrupamentos</w:t>
      </w:r>
      <w:r w:rsidR="006D4C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(BNCC, 2017/2018)</w:t>
      </w:r>
      <w:r w:rsidR="00CA09A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  <w:r w:rsidR="006F4F5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Mas, como a própria equipe de criação ressalta, o jogo também pode ser utilizado na Educação infantil, tendo em vista a simplicidade d</w:t>
      </w:r>
      <w:r w:rsidR="00A729B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</w:t>
      </w:r>
      <w:r w:rsidR="006F4F5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jogabilidade.</w:t>
      </w:r>
    </w:p>
    <w:p w14:paraId="13C93CA4" w14:textId="1A599301" w:rsidR="006F4F58" w:rsidRPr="006F4F58" w:rsidRDefault="006F4F58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 xml:space="preserve">Na Figura 5 ilustra-se o jogo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Algarismos Romanos</w:t>
      </w:r>
      <w:r w:rsidR="004A14F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que em sua maior parte, consiste na conversão de números do sistema indo-arábico para o sistema romano.</w:t>
      </w:r>
      <w:r w:rsidR="00ED54E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Ao longo do jogo, algumas instruções sobre a estrutura do sistema de numeração romano são apresentadas na tela. </w:t>
      </w:r>
      <w:r w:rsidR="004A14F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 </w:t>
      </w:r>
    </w:p>
    <w:p w14:paraId="483F977C" w14:textId="77777777" w:rsidR="006C16F9" w:rsidRDefault="006C16F9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4AA33B20" w14:textId="3E5AD33D" w:rsidR="006C16F9" w:rsidRPr="00D325C5" w:rsidRDefault="006C16F9" w:rsidP="006C16F9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 xml:space="preserve">Figura </w:t>
      </w:r>
      <w:r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5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 w:rsidRPr="00D325C5"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A</w:t>
      </w:r>
      <w:r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lgarismos Romanos</w:t>
      </w:r>
    </w:p>
    <w:p w14:paraId="7320149C" w14:textId="61E31B90" w:rsidR="006C16F9" w:rsidRPr="00D325C5" w:rsidRDefault="00D179B9" w:rsidP="006C16F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drawing>
          <wp:inline distT="0" distB="0" distL="0" distR="0" wp14:anchorId="44A415DB" wp14:editId="428EA025">
            <wp:extent cx="5486400" cy="3486150"/>
            <wp:effectExtent l="19050" t="19050" r="19050" b="190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6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C3AAA5" w14:textId="27EEE1ED" w:rsidR="006C16F9" w:rsidRPr="0067415E" w:rsidRDefault="006C16F9" w:rsidP="006C16F9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 xml:space="preserve">Fonte: adaptado de </w:t>
      </w:r>
      <w:r w:rsidR="000218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Escola Games (2021)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.</w:t>
      </w:r>
    </w:p>
    <w:p w14:paraId="5D764D16" w14:textId="77777777" w:rsidR="006C16F9" w:rsidRPr="00D325C5" w:rsidRDefault="006C16F9" w:rsidP="006C1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4C7997D3" w14:textId="77777777" w:rsidR="00CA5BA1" w:rsidRDefault="00CA5BA1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Apesar de o jogo não exigir diretamente a contagem de objetos, para que as instruções sejam compreendidas, o usuário precisa entender como a contagem em números romanos “funciona”</w:t>
      </w:r>
      <w:r w:rsidR="006C16F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</w:t>
      </w:r>
    </w:p>
    <w:p w14:paraId="2FB41A40" w14:textId="0BA56A7C" w:rsidR="000A4D48" w:rsidRDefault="00CA5BA1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O jogo envolve algarismos de várias ordens de grandeza, podendo ser utilizado, por exemplo, para desenvolver a habilidade </w:t>
      </w:r>
      <w:r w:rsidR="000A4D48" w:rsidRPr="000A4D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EF01MA04 - Contar a quantidade de objetos de coleções até 100 unidades e apresentar o resultado por registros verbais e simbólicos, em situações de seu interesse, como jogos, brincadeiras, materiais da sala de aula, entre outros</w:t>
      </w:r>
      <w:r w:rsidR="006D4C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(BNCC, 2017/2018)</w:t>
      </w:r>
      <w:r w:rsidR="000A4D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6692382C" w14:textId="59CC70A8" w:rsidR="006C16F9" w:rsidRPr="00C173B3" w:rsidRDefault="00C173B3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 xml:space="preserve">A Figura 6 ilustra o jogo digital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Maior ou Menor na Selva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, no qual é perguntado ao usuário qual animal é maior, </w:t>
      </w:r>
      <w:r w:rsidR="00BD5140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d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entre dois que aparecem na tela. </w:t>
      </w:r>
      <w:r w:rsidR="000F2F80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É indicado pelos criadores para a Educação e Infantil e para o primeiro ano do Ensino Fundamental.</w:t>
      </w:r>
    </w:p>
    <w:p w14:paraId="1281EE04" w14:textId="77777777" w:rsidR="006C16F9" w:rsidRDefault="006C16F9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1D94D6DD" w14:textId="15D36F9A" w:rsidR="006C16F9" w:rsidRPr="00D325C5" w:rsidRDefault="006C16F9" w:rsidP="006C16F9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 xml:space="preserve">Figura </w:t>
      </w:r>
      <w:r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6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Maior ou Menor na Selva</w:t>
      </w:r>
    </w:p>
    <w:p w14:paraId="720393BB" w14:textId="37AF96EC" w:rsidR="006C16F9" w:rsidRPr="00D325C5" w:rsidRDefault="00D179B9" w:rsidP="006C16F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drawing>
          <wp:inline distT="0" distB="0" distL="0" distR="0" wp14:anchorId="1A7DBA65" wp14:editId="68491BA0">
            <wp:extent cx="5486400" cy="3181350"/>
            <wp:effectExtent l="19050" t="19050" r="19050" b="190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1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4756A9" w14:textId="3C6D9B31" w:rsidR="006C16F9" w:rsidRPr="0067415E" w:rsidRDefault="006C16F9" w:rsidP="006C16F9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 xml:space="preserve">Fonte: adaptado de </w:t>
      </w:r>
      <w:r w:rsidR="000218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Escola Games (2021)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.</w:t>
      </w:r>
    </w:p>
    <w:p w14:paraId="61D45042" w14:textId="77777777" w:rsidR="006C16F9" w:rsidRPr="00D325C5" w:rsidRDefault="006C16F9" w:rsidP="006C1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423D6AC7" w14:textId="41B797D7" w:rsidR="006C16F9" w:rsidRDefault="00C81A0C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Segundo </w:t>
      </w:r>
      <w:r>
        <w:rPr>
          <w:rFonts w:ascii="Times New Roman" w:hAnsi="Times New Roman" w:cs="Times New Roman"/>
        </w:rPr>
        <w:t xml:space="preserve">Chapin e Johnson (2006), e também Beck e Silva (2017), </w:t>
      </w:r>
      <w:r w:rsidR="00B92788">
        <w:rPr>
          <w:rFonts w:ascii="Times New Roman" w:hAnsi="Times New Roman" w:cs="Times New Roman"/>
        </w:rPr>
        <w:t xml:space="preserve">a contagem é uma das estratégias iniciais para compreender as operações aritméticas elementares, e nesse sentido, o desenvolvimento da habiliadade </w:t>
      </w:r>
      <w:r w:rsidR="00B92788">
        <w:rPr>
          <w:rFonts w:ascii="Times New Roman" w:hAnsi="Times New Roman" w:cs="Times New Roman"/>
          <w:i/>
          <w:iCs/>
        </w:rPr>
        <w:t>seriar</w:t>
      </w:r>
      <w:r w:rsidR="00B92788">
        <w:rPr>
          <w:rFonts w:ascii="Times New Roman" w:hAnsi="Times New Roman" w:cs="Times New Roman"/>
        </w:rPr>
        <w:t xml:space="preserve"> objetos, ou seja, pô-los em ordem de acordo com algum critério, é uma primeira ideia para aprender a contar, visto que a </w:t>
      </w:r>
      <w:r w:rsidR="00B92788">
        <w:rPr>
          <w:rFonts w:ascii="Times New Roman" w:hAnsi="Times New Roman" w:cs="Times New Roman"/>
          <w:i/>
          <w:iCs/>
        </w:rPr>
        <w:t>contagem</w:t>
      </w:r>
      <w:r w:rsidR="00B92788">
        <w:rPr>
          <w:rFonts w:ascii="Times New Roman" w:hAnsi="Times New Roman" w:cs="Times New Roman"/>
        </w:rPr>
        <w:t xml:space="preserve"> é uma operação que se constitui como caso particular da </w:t>
      </w:r>
      <w:r w:rsidR="00B92788">
        <w:rPr>
          <w:rFonts w:ascii="Times New Roman" w:hAnsi="Times New Roman" w:cs="Times New Roman"/>
          <w:i/>
          <w:iCs/>
        </w:rPr>
        <w:t>seriação</w:t>
      </w:r>
      <w:r w:rsidR="00B92788">
        <w:rPr>
          <w:rFonts w:ascii="Times New Roman" w:hAnsi="Times New Roman" w:cs="Times New Roman"/>
        </w:rPr>
        <w:t>, em que os objetos são os numerais do sistema de numeração decimal</w:t>
      </w:r>
      <w:r w:rsidR="006C16F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5A1A3C5C" w14:textId="2CA5EF49" w:rsidR="000A4D48" w:rsidRDefault="00B92788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Comparar atributos, como maior/menor, por exemplo, é uma primeira experiência de seriação. Logo, podemos dizer que o jogo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Maior ou Menor na Selva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pode ajudar no desenvolvimento da habilidade </w:t>
      </w:r>
      <w:r w:rsidR="000A4D48" w:rsidRPr="000A4D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EF01MA05 - Comparar números naturais de até duas ordens em situações cotidianas, com e sem suporte da reta numérica</w:t>
      </w:r>
      <w:r w:rsidR="006D4C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(BNCC, 2017/2018)</w:t>
      </w:r>
      <w:r w:rsidR="000A4D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493621D8" w14:textId="3B7760C7" w:rsidR="006C16F9" w:rsidRPr="00E449FE" w:rsidRDefault="00E449FE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 xml:space="preserve">Na Figura 7 está ilustrado o jogo digital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Blocos Espaciais</w:t>
      </w:r>
      <w:r w:rsidR="00703BC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, </w:t>
      </w:r>
      <w:r w:rsidR="000619E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que requer do usuário que ele represente números dos sistema decimal a partir da quantifiação de blocos (dezenas, unidades</w:t>
      </w:r>
      <w:r w:rsidR="0010572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etc.</w:t>
      </w:r>
      <w:r w:rsidR="000619E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), e também, em outro momento, exige a habilidade de contagem de blocos</w:t>
      </w:r>
      <w:r w:rsidR="005B5143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 partir de uma nave espacial guiada pelo usuário</w:t>
      </w:r>
      <w:r w:rsidR="000619ED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3CBD353C" w14:textId="77777777" w:rsidR="006C16F9" w:rsidRDefault="006C16F9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41B00980" w14:textId="63D2150F" w:rsidR="006C16F9" w:rsidRPr="00D325C5" w:rsidRDefault="006C16F9" w:rsidP="006C16F9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 xml:space="preserve">Figura </w:t>
      </w:r>
      <w:r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7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Blocos Espaciais</w:t>
      </w:r>
    </w:p>
    <w:p w14:paraId="19695103" w14:textId="02EB765D" w:rsidR="006C16F9" w:rsidRPr="00D325C5" w:rsidRDefault="00D179B9" w:rsidP="006C16F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drawing>
          <wp:inline distT="0" distB="0" distL="0" distR="0" wp14:anchorId="642D635E" wp14:editId="672DD0BD">
            <wp:extent cx="5443496" cy="3356823"/>
            <wp:effectExtent l="19050" t="19050" r="24130" b="152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75" cy="33651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55ADF0" w14:textId="7258EF98" w:rsidR="006C16F9" w:rsidRPr="0067415E" w:rsidRDefault="006C16F9" w:rsidP="006C16F9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 xml:space="preserve">Fonte: adaptado de </w:t>
      </w:r>
      <w:r w:rsidR="000218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Escola Games (2021)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.</w:t>
      </w:r>
    </w:p>
    <w:p w14:paraId="09FEC5D4" w14:textId="77777777" w:rsidR="006C16F9" w:rsidRPr="00D325C5" w:rsidRDefault="006C16F9" w:rsidP="006C1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18E614BF" w14:textId="35FEDCA6" w:rsidR="006C16F9" w:rsidRDefault="00FF4405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Este jogo </w:t>
      </w:r>
      <w:r w:rsidR="00177AB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possibilita desenvolver tanto a contagem quanto a quantificação, confo</w:t>
      </w:r>
      <w:r w:rsidR="006F435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r</w:t>
      </w:r>
      <w:r w:rsidR="00177AB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me descritas por Kamii (2012)</w:t>
      </w:r>
      <w:r w:rsidR="006C16F9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  <w:r w:rsidR="00177AB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A quantificação pode ser desenvolvida na fase em que o usuário precisa “traduzir” a quantidade de blocos para a forma decimal, e </w:t>
      </w:r>
      <w:r w:rsidR="006F4357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a </w:t>
      </w:r>
      <w:r w:rsidR="00177AB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contagem pode ser trabalhada na etapa de contagem e agrupamento d</w:t>
      </w:r>
      <w:r w:rsidR="005B19AE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os</w:t>
      </w:r>
      <w:r w:rsidR="00177AB1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blocos em dezenas.</w:t>
      </w:r>
    </w:p>
    <w:p w14:paraId="26010987" w14:textId="7F434A71" w:rsidR="000A4D48" w:rsidRDefault="00AA15A1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Como neste trabalho o foco é habilidade de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contar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, destaco a habilidade </w:t>
      </w:r>
      <w:r w:rsidR="000A4D48" w:rsidRPr="000A4D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EF02MA01 - Comparar e ordenar números naturais (até a ordem de centenas) pela compreensão de características do sistema de numeração decimal (valor posicional e função do zero)</w:t>
      </w:r>
      <w:r w:rsidR="006D4C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(BNCC, 2017/2018)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, a qual pode ser desenvolvida no que se referre à ordenação de números naturais na</w:t>
      </w:r>
      <w:r w:rsidR="003830B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s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orde</w:t>
      </w:r>
      <w:r w:rsidR="003830B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ns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de</w:t>
      </w:r>
      <w:r w:rsidR="003830B6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dezenas e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centenas</w:t>
      </w:r>
      <w:r w:rsidR="000A4D48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.</w:t>
      </w:r>
    </w:p>
    <w:p w14:paraId="4DB6ADB7" w14:textId="3BFF5258" w:rsidR="006C16F9" w:rsidRPr="005B5143" w:rsidRDefault="005B5143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lastRenderedPageBreak/>
        <w:t xml:space="preserve">Na Figura 8 é apresentado o jogo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Antecessor e Sucessor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. Nesse jogo o usuário deve compreender os conceitos de </w:t>
      </w:r>
      <w:r w:rsidRPr="005B5143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número antecessor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e </w:t>
      </w:r>
      <w:r w:rsidRPr="005B5143"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número sucessor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para </w:t>
      </w:r>
      <w:r w:rsidR="005359AF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decidir para onde o gato deve pular.</w:t>
      </w:r>
    </w:p>
    <w:p w14:paraId="74333203" w14:textId="77777777" w:rsidR="006C16F9" w:rsidRDefault="006C16F9" w:rsidP="006C16F9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</w:pPr>
    </w:p>
    <w:p w14:paraId="6B128E3B" w14:textId="6076A5D5" w:rsidR="006C16F9" w:rsidRPr="00D325C5" w:rsidRDefault="006C16F9" w:rsidP="006C16F9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 xml:space="preserve">Figura </w:t>
      </w:r>
      <w:r>
        <w:rPr>
          <w:rFonts w:ascii="Times New Roman" w:eastAsia="Times New Roman" w:hAnsi="Times New Roman" w:cs="Times New Roman"/>
          <w:b/>
          <w:snapToGrid w:val="0"/>
          <w:color w:val="auto"/>
          <w:kern w:val="0"/>
          <w:lang w:eastAsia="pt-BR"/>
        </w:rPr>
        <w:t>8</w:t>
      </w:r>
      <w:r w:rsidRPr="00D325C5"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t xml:space="preserve"> – Jogo Digital </w:t>
      </w:r>
      <w:r w:rsidRPr="00D325C5"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A</w:t>
      </w:r>
      <w:r>
        <w:rPr>
          <w:rFonts w:ascii="Times New Roman" w:eastAsia="Times New Roman" w:hAnsi="Times New Roman" w:cs="Times New Roman"/>
          <w:i/>
          <w:iCs/>
          <w:snapToGrid w:val="0"/>
          <w:color w:val="auto"/>
          <w:kern w:val="0"/>
          <w:lang w:eastAsia="pt-BR"/>
        </w:rPr>
        <w:t>ntecessor e Sucessor</w:t>
      </w:r>
    </w:p>
    <w:p w14:paraId="41E75210" w14:textId="549445E9" w:rsidR="006C16F9" w:rsidRPr="00D325C5" w:rsidRDefault="00D179B9" w:rsidP="006C16F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</w:pPr>
      <w:r>
        <w:rPr>
          <w:rFonts w:ascii="Times New Roman" w:eastAsia="Times New Roman" w:hAnsi="Times New Roman" w:cs="Times New Roman"/>
          <w:snapToGrid w:val="0"/>
          <w:color w:val="auto"/>
          <w:kern w:val="0"/>
          <w:lang w:eastAsia="pt-BR"/>
        </w:rPr>
        <w:drawing>
          <wp:inline distT="0" distB="0" distL="0" distR="0" wp14:anchorId="2259CC2B" wp14:editId="6DA4BF70">
            <wp:extent cx="5486400" cy="4095750"/>
            <wp:effectExtent l="19050" t="19050" r="19050" b="190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44078D" w14:textId="0585CEA9" w:rsidR="006C16F9" w:rsidRPr="0067415E" w:rsidRDefault="006C16F9" w:rsidP="006C16F9">
      <w:pPr>
        <w:suppressAutoHyphens w:val="0"/>
        <w:spacing w:before="60" w:after="0"/>
        <w:jc w:val="center"/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</w:pP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 xml:space="preserve">Fonte: adaptado de </w:t>
      </w:r>
      <w:r w:rsidR="000218C3"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Escola Games (2021)</w:t>
      </w:r>
      <w:r w:rsidRPr="0067415E">
        <w:rPr>
          <w:rFonts w:ascii="Times New Roman" w:eastAsia="Times New Roman" w:hAnsi="Times New Roman" w:cs="Times New Roman"/>
          <w:snapToGrid w:val="0"/>
          <w:color w:val="auto"/>
          <w:kern w:val="0"/>
          <w:sz w:val="20"/>
          <w:szCs w:val="20"/>
          <w:lang w:eastAsia="pt-BR"/>
        </w:rPr>
        <w:t>.</w:t>
      </w:r>
    </w:p>
    <w:p w14:paraId="66E2A0F5" w14:textId="77777777" w:rsidR="006C16F9" w:rsidRPr="00D325C5" w:rsidRDefault="006C16F9" w:rsidP="006C16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04B33958" w14:textId="12C3D01B" w:rsidR="006C16F9" w:rsidRDefault="00C2456D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  <w:r>
        <w:rPr>
          <w:rFonts w:ascii="Times New Roman" w:eastAsia="Times New Roman" w:hAnsi="Times New Roman" w:cs="Times New Roman"/>
          <w:color w:val="auto"/>
          <w:kern w:val="0"/>
          <w:lang w:eastAsia="ar-SA"/>
        </w:rPr>
        <w:t>Para contar, a criança precisa, dentre outras coisas, desenvolver o sen</w:t>
      </w:r>
      <w:r w:rsidR="007F371A">
        <w:rPr>
          <w:rFonts w:ascii="Times New Roman" w:eastAsia="Times New Roman" w:hAnsi="Times New Roman" w:cs="Times New Roman"/>
          <w:color w:val="auto"/>
          <w:kern w:val="0"/>
          <w:lang w:eastAsia="ar-SA"/>
        </w:rPr>
        <w:t>s</w:t>
      </w:r>
      <w:r>
        <w:rPr>
          <w:rFonts w:ascii="Times New Roman" w:eastAsia="Times New Roman" w:hAnsi="Times New Roman" w:cs="Times New Roman"/>
          <w:color w:val="auto"/>
          <w:kern w:val="0"/>
          <w:lang w:eastAsia="ar-SA"/>
        </w:rPr>
        <w:t>o de comparação entre os números</w:t>
      </w:r>
      <w:r w:rsidR="000A4D48">
        <w:rPr>
          <w:rFonts w:ascii="Times New Roman" w:eastAsia="Times New Roman" w:hAnsi="Times New Roman" w:cs="Times New Roman"/>
          <w:color w:val="auto"/>
          <w:kern w:val="0"/>
          <w:lang w:eastAsia="ar-SA"/>
        </w:rPr>
        <w:t>.</w:t>
      </w:r>
      <w:r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 Saber qual vem antes e qual vem depois é uma forma de aperfeiçoar o ente</w:t>
      </w:r>
      <w:r w:rsidR="007F371A">
        <w:rPr>
          <w:rFonts w:ascii="Times New Roman" w:eastAsia="Times New Roman" w:hAnsi="Times New Roman" w:cs="Times New Roman"/>
          <w:color w:val="auto"/>
          <w:kern w:val="0"/>
          <w:lang w:eastAsia="ar-SA"/>
        </w:rPr>
        <w:t>ndimento</w:t>
      </w:r>
      <w:r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 da sequência dos números naturais</w:t>
      </w:r>
      <w:r w:rsidR="007F371A"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 como ferramenta de contagem</w:t>
      </w:r>
      <w:r>
        <w:rPr>
          <w:rFonts w:ascii="Times New Roman" w:eastAsia="Times New Roman" w:hAnsi="Times New Roman" w:cs="Times New Roman"/>
          <w:color w:val="auto"/>
          <w:kern w:val="0"/>
          <w:lang w:eastAsia="ar-SA"/>
        </w:rPr>
        <w:t>. Daí a importância da proposta de atividades que envolvam as ideias de antecessor e sucessor.</w:t>
      </w:r>
    </w:p>
    <w:p w14:paraId="0882EED1" w14:textId="54706A3E" w:rsidR="000A4D48" w:rsidRDefault="002558F2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  <w:r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Sendo assim, o jogo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u w:color="000000"/>
          <w:lang w:eastAsia="pt-BR"/>
        </w:rPr>
        <w:t>Antecessor e Sucessor</w:t>
      </w:r>
      <w:r w:rsidRPr="000A4D48"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pode auxiliar no desenvolvimento da habilidade </w:t>
      </w:r>
      <w:r w:rsidR="000A4D48" w:rsidRPr="000A4D48"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EF03MA01 - Ler, escrever e comparar números naturais até a ordem de unidade </w:t>
      </w:r>
      <w:r w:rsidR="000A4D48" w:rsidRPr="000A4D48">
        <w:rPr>
          <w:rFonts w:ascii="Times New Roman" w:eastAsia="Times New Roman" w:hAnsi="Times New Roman" w:cs="Times New Roman"/>
          <w:color w:val="auto"/>
          <w:kern w:val="0"/>
          <w:lang w:eastAsia="ar-SA"/>
        </w:rPr>
        <w:lastRenderedPageBreak/>
        <w:t>de milhar, estabelecendo relações entre os registros numéricos e em língua materna</w:t>
      </w:r>
      <w:r w:rsidR="006D4CC5">
        <w:rPr>
          <w:rFonts w:ascii="Times New Roman" w:eastAsia="Times New Roman" w:hAnsi="Times New Roman" w:cs="Times New Roman"/>
          <w:color w:val="auto"/>
          <w:kern w:val="0"/>
          <w:lang w:eastAsia="ar-SA"/>
        </w:rPr>
        <w:t xml:space="preserve"> </w:t>
      </w:r>
      <w:r w:rsidR="006D4C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(BNCC, 2017/2018)</w:t>
      </w:r>
      <w:r w:rsidR="000A4D48">
        <w:rPr>
          <w:rFonts w:ascii="Times New Roman" w:eastAsia="Times New Roman" w:hAnsi="Times New Roman" w:cs="Times New Roman"/>
          <w:color w:val="auto"/>
          <w:kern w:val="0"/>
          <w:lang w:eastAsia="ar-SA"/>
        </w:rPr>
        <w:t>.</w:t>
      </w:r>
    </w:p>
    <w:p w14:paraId="5F2A1663" w14:textId="6AABA9AD" w:rsidR="00D325C5" w:rsidRPr="00D325C5" w:rsidRDefault="00D325C5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  <w:r w:rsidRPr="00D325C5">
        <w:rPr>
          <w:rFonts w:ascii="Times New Roman" w:eastAsia="Times New Roman" w:hAnsi="Times New Roman" w:cs="Times New Roman"/>
          <w:color w:val="auto"/>
          <w:kern w:val="0"/>
          <w:lang w:eastAsia="ar-SA"/>
        </w:rPr>
        <w:t>É importante ressaltar que a contagem é uma habilidade presente no currículo dos três primeiros anos do Ensino Fundamental, conforme detalhamos no Quadro 1, a seguir, que sintetiza os resultados da pesquisa.</w:t>
      </w:r>
    </w:p>
    <w:p w14:paraId="6CA9CFF8" w14:textId="77777777" w:rsidR="00D325C5" w:rsidRPr="00D325C5" w:rsidRDefault="00D325C5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eastAsia="ar-SA"/>
        </w:rPr>
      </w:pPr>
    </w:p>
    <w:p w14:paraId="499C4E89" w14:textId="77777777" w:rsidR="00D325C5" w:rsidRPr="00D325C5" w:rsidRDefault="00D325C5" w:rsidP="00D325C5">
      <w:pPr>
        <w:suppressAutoHyphens w:val="0"/>
        <w:spacing w:after="100"/>
        <w:jc w:val="center"/>
        <w:rPr>
          <w:rFonts w:ascii="Times New Roman" w:eastAsia="Times New Roman" w:hAnsi="Times New Roman" w:cs="Times New Roman"/>
          <w:color w:val="auto"/>
          <w:kern w:val="0"/>
          <w:lang w:eastAsia="pt-BR"/>
        </w:rPr>
      </w:pPr>
      <w:r w:rsidRPr="00D325C5">
        <w:rPr>
          <w:rFonts w:ascii="Times New Roman" w:eastAsia="Times New Roman" w:hAnsi="Times New Roman" w:cs="Times New Roman"/>
          <w:b/>
          <w:color w:val="auto"/>
          <w:kern w:val="0"/>
          <w:lang w:eastAsia="pt-BR"/>
        </w:rPr>
        <w:t>Quadro 1 –</w:t>
      </w:r>
      <w:r w:rsidRPr="00D325C5">
        <w:rPr>
          <w:rFonts w:ascii="Times New Roman" w:eastAsia="Times New Roman" w:hAnsi="Times New Roman" w:cs="Times New Roman"/>
          <w:color w:val="auto"/>
          <w:kern w:val="0"/>
          <w:lang w:eastAsia="pt-BR"/>
        </w:rPr>
        <w:t xml:space="preserve"> Relação entre OVAs e Habilidades da BNCC</w:t>
      </w:r>
    </w:p>
    <w:tbl>
      <w:tblPr>
        <w:tblW w:w="719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1"/>
        <w:gridCol w:w="5014"/>
      </w:tblGrid>
      <w:tr w:rsidR="00D325C5" w:rsidRPr="00D325C5" w14:paraId="379589EC" w14:textId="77777777" w:rsidTr="00552074">
        <w:trPr>
          <w:trHeight w:val="92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0C7DB7E9" w14:textId="77777777" w:rsidR="00D325C5" w:rsidRPr="00D325C5" w:rsidRDefault="00D325C5" w:rsidP="00D325C5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</w:rPr>
            </w:pPr>
            <w:r w:rsidRPr="00D325C5">
              <w:rPr>
                <w:rFonts w:ascii="Times New Roman" w:eastAsia="Times New Roman" w:hAnsi="Times New Roman" w:cs="Times New Roman"/>
                <w:b/>
                <w:color w:val="auto"/>
                <w:kern w:val="0"/>
              </w:rPr>
              <w:t>OVA</w:t>
            </w:r>
          </w:p>
        </w:tc>
        <w:tc>
          <w:tcPr>
            <w:tcW w:w="50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E052CD3" w14:textId="77777777" w:rsidR="00D325C5" w:rsidRPr="00D325C5" w:rsidRDefault="00D325C5" w:rsidP="00D325C5">
            <w:pPr>
              <w:suppressAutoHyphens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</w:rPr>
            </w:pPr>
            <w:r w:rsidRPr="00D325C5">
              <w:rPr>
                <w:rFonts w:ascii="Times New Roman" w:eastAsia="Times New Roman" w:hAnsi="Times New Roman" w:cs="Times New Roman"/>
                <w:b/>
                <w:color w:val="auto"/>
                <w:kern w:val="0"/>
              </w:rPr>
              <w:t>Habilidade da BNCC Correspondente</w:t>
            </w:r>
          </w:p>
        </w:tc>
      </w:tr>
      <w:tr w:rsidR="00D325C5" w:rsidRPr="00D325C5" w14:paraId="106E7ECA" w14:textId="77777777" w:rsidTr="00552074">
        <w:trPr>
          <w:trHeight w:val="454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F274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Eu Sei Contar</w:t>
            </w:r>
          </w:p>
          <w:p w14:paraId="63DA5688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68C20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0" w:name="_Hlk61857816"/>
            <w:r w:rsidRPr="00D325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EF01MA01 - Utilizar números naturais como indicador de quantidade ou de ordem em diferentes situações cotidianas e reconhecer situações em que os números não indicam contagem nem ordem, mas sim código de identificação</w:t>
            </w:r>
            <w:bookmarkEnd w:id="0"/>
            <w:r w:rsidRPr="00D325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.</w:t>
            </w:r>
          </w:p>
          <w:p w14:paraId="29AA96F8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325C5" w:rsidRPr="00D325C5" w14:paraId="573FB24D" w14:textId="77777777" w:rsidTr="00552074">
        <w:trPr>
          <w:trHeight w:val="454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C4ED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Aprenda a Contar</w:t>
            </w:r>
          </w:p>
          <w:p w14:paraId="5749A51E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Coelho da Páscoa</w:t>
            </w:r>
          </w:p>
          <w:p w14:paraId="3F5054D4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Zoo Louco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D31632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1" w:name="_Hlk61857877"/>
            <w:r w:rsidRPr="00D325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EF01MA02 - Contar de maneira exata ou aproximada, utilizando diferentes estratégias como o pareamento e outros agrupamentos</w:t>
            </w:r>
            <w:bookmarkEnd w:id="1"/>
          </w:p>
          <w:p w14:paraId="48073316" w14:textId="77777777" w:rsidR="00D325C5" w:rsidRPr="00D325C5" w:rsidRDefault="00D325C5" w:rsidP="00D325C5">
            <w:pPr>
              <w:suppressAutoHyphens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325C5" w:rsidRPr="00D325C5" w14:paraId="5AD78587" w14:textId="77777777" w:rsidTr="00552074">
        <w:trPr>
          <w:trHeight w:val="454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0F9C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Algarismos Romanos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BB321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EF01MA04 - Contar a quantidade de objetos de coleções até 100 unidades e apresentar o resultado por registros verbais e simbólicos, em situações de seu interesse, como jogos, brincadeiras, materiais da sala de aula, entre outros.</w:t>
            </w:r>
          </w:p>
          <w:p w14:paraId="29C3E290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325C5" w:rsidRPr="00D325C5" w14:paraId="5A74B59F" w14:textId="77777777" w:rsidTr="00552074">
        <w:trPr>
          <w:trHeight w:val="454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765E" w14:textId="27A66DB9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Maior e Meno</w:t>
            </w:r>
            <w:r w:rsidR="006C16F9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r</w:t>
            </w: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na Selva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0BC453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EF01MA05 - Comparar números naturais de até duas ordens em situações cotidianas, com e sem suporte da reta numérica.</w:t>
            </w:r>
          </w:p>
          <w:p w14:paraId="17776545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325C5" w:rsidRPr="00D325C5" w14:paraId="2453E208" w14:textId="77777777" w:rsidTr="00552074">
        <w:trPr>
          <w:trHeight w:val="454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7F62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Blocos Espaciais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EBBEA6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EF02MA01 - Comparar e ordenar números naturais (até a ordem de centenas) pela compreensão de características do sistema de numeração decimal (valor posicional e função do zero).</w:t>
            </w:r>
          </w:p>
          <w:p w14:paraId="5FFDBD4B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325C5" w:rsidRPr="00D325C5" w14:paraId="535A14D0" w14:textId="77777777" w:rsidTr="00552074">
        <w:trPr>
          <w:trHeight w:val="454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0314" w14:textId="77777777" w:rsidR="00D325C5" w:rsidRPr="00D325C5" w:rsidRDefault="00D325C5" w:rsidP="00D325C5">
            <w:pPr>
              <w:suppressAutoHyphens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</w:rPr>
              <w:t>Antecessor e Sucessor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69FC9F" w14:textId="4599F1F8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325C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EF03MA01 - Ler, escrever e comparar números naturais até a ordem de unidade de milhar, estabelecendo relações entre os registros numéricos e em língua materna.</w:t>
            </w:r>
          </w:p>
          <w:p w14:paraId="2A0D17E2" w14:textId="77777777" w:rsidR="00D325C5" w:rsidRPr="00D325C5" w:rsidRDefault="00D325C5" w:rsidP="00D325C5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41DD55FD" w14:textId="77777777" w:rsidR="00D325C5" w:rsidRPr="00D325C5" w:rsidRDefault="00D325C5" w:rsidP="00D325C5">
      <w:pPr>
        <w:tabs>
          <w:tab w:val="left" w:pos="600"/>
        </w:tabs>
        <w:suppressAutoHyphens w:val="0"/>
        <w:spacing w:before="60" w:after="0"/>
        <w:ind w:left="601" w:hanging="601"/>
        <w:jc w:val="center"/>
        <w:rPr>
          <w:rFonts w:ascii="Times New Roman" w:eastAsia="Times New Roman" w:hAnsi="Times New Roman" w:cs="Times New Roman"/>
          <w:color w:val="auto"/>
          <w:kern w:val="0"/>
          <w:sz w:val="20"/>
          <w:szCs w:val="20"/>
          <w:lang w:eastAsia="pt-BR"/>
        </w:rPr>
      </w:pPr>
      <w:r w:rsidRPr="00D325C5">
        <w:rPr>
          <w:rFonts w:ascii="Times New Roman" w:eastAsia="Times New Roman" w:hAnsi="Times New Roman" w:cs="Times New Roman"/>
          <w:color w:val="auto"/>
          <w:kern w:val="0"/>
          <w:sz w:val="20"/>
          <w:szCs w:val="20"/>
          <w:lang w:eastAsia="pt-BR"/>
        </w:rPr>
        <w:t>Fonte: o autor.</w:t>
      </w:r>
    </w:p>
    <w:p w14:paraId="6338B05C" w14:textId="77777777" w:rsidR="00D325C5" w:rsidRPr="00D325C5" w:rsidRDefault="00D325C5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</w:pPr>
    </w:p>
    <w:p w14:paraId="10D2B761" w14:textId="2D92E1D4" w:rsidR="00D325C5" w:rsidRPr="00D325C5" w:rsidRDefault="00D325C5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</w:pP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 xml:space="preserve">Os </w:t>
      </w:r>
      <w:r w:rsidR="00E43EDC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>jogos digitais</w:t>
      </w: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 xml:space="preserve"> analisados amplificam a imaginação individual, no sentido de que eles colocam a criança em contato com situações que exigem destas a mobilização de esquemas mentais que priorizam os procesos de contagem, isto é, estes jogos digitais direcionam o pensamento para esquemas de contagem, sem os quais não é possível agir e obter desempenho satisfatório nos desafios que se apresentam.</w:t>
      </w:r>
    </w:p>
    <w:p w14:paraId="7ED1C4AC" w14:textId="5A4CC172" w:rsidR="00D325C5" w:rsidRPr="00D325C5" w:rsidRDefault="00D325C5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</w:pP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lastRenderedPageBreak/>
        <w:t xml:space="preserve">O Quadro 1 demonstra que existem pelo menos seis habilidades do currículo que podem ser desenvolvidas </w:t>
      </w:r>
      <w:r w:rsidR="00E2771B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>com a utilização</w:t>
      </w: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 xml:space="preserve"> dos </w:t>
      </w:r>
      <w:r w:rsidR="00E43EDC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>jogos</w:t>
      </w: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 xml:space="preserve"> analisados. A partir do conceito de </w:t>
      </w:r>
      <w:r w:rsidRPr="00D325C5">
        <w:rPr>
          <w:rFonts w:ascii="Times New Roman" w:eastAsia="Times New Roman" w:hAnsi="Times New Roman" w:cs="Times New Roman"/>
          <w:i/>
          <w:iCs/>
          <w:color w:val="auto"/>
          <w:kern w:val="0"/>
          <w:lang w:val="pt-PT" w:eastAsia="ar-SA"/>
        </w:rPr>
        <w:t>aprendizagem por simulação</w:t>
      </w: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 xml:space="preserve"> criado por Pierre Lévy (2010), podemos dizer que o site </w:t>
      </w:r>
      <w:r w:rsidR="000218C3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>Escola Games (2021)</w:t>
      </w: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 xml:space="preserve"> possibilita a ampliação da imaginação individual de situações que envolvem contagem, inclusive abordando habilidades previstas no currículo</w:t>
      </w:r>
      <w:r w:rsidR="00E43EDC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 xml:space="preserve"> oficial</w:t>
      </w:r>
      <w:r w:rsidRPr="00D325C5"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  <w:t>.</w:t>
      </w:r>
    </w:p>
    <w:p w14:paraId="507302C7" w14:textId="77777777" w:rsidR="00D325C5" w:rsidRPr="00D325C5" w:rsidRDefault="00D325C5" w:rsidP="00D32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lang w:val="pt-PT" w:eastAsia="ar-SA"/>
        </w:rPr>
      </w:pPr>
    </w:p>
    <w:p w14:paraId="673E75B7" w14:textId="02FC0464" w:rsidR="00D325C5" w:rsidRPr="00D325C5" w:rsidRDefault="00E5257B" w:rsidP="00D325C5">
      <w:pPr>
        <w:suppressAutoHyphens w:val="0"/>
        <w:spacing w:after="0"/>
        <w:jc w:val="center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6</w:t>
      </w:r>
      <w:r w:rsidR="00D325C5"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eastAsia="pt-BR"/>
        </w:rPr>
        <w:t>. CONSIDERAÇÕES FINAIS</w:t>
      </w:r>
    </w:p>
    <w:p w14:paraId="6236DD1F" w14:textId="77777777" w:rsidR="00D325C5" w:rsidRPr="00D325C5" w:rsidRDefault="00D325C5" w:rsidP="00D325C5">
      <w:pPr>
        <w:suppressAutoHyphens w:val="0"/>
        <w:spacing w:after="0"/>
        <w:rPr>
          <w:rFonts w:ascii="Times New Roman" w:eastAsia="Arial" w:hAnsi="Times New Roman" w:cs="Times New Roman"/>
          <w:color w:val="000000"/>
          <w:kern w:val="0"/>
          <w:u w:color="000000"/>
          <w:lang w:eastAsia="pt-BR"/>
        </w:rPr>
      </w:pPr>
    </w:p>
    <w:p w14:paraId="6DCDE0D3" w14:textId="23824C31" w:rsid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</w:pP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Considerando o objetivo deste trabalho, que é ampliar a compreensão do fenômeno da aprendizagem por simulação na cibercultura, com base na descrição e análise de alguns jogos virtuais do site Escolas Games, tendo em vista as competências previstas pela BNCC para o desenvolvimento da habilidade de contar nos anos iniciais do Ensino Fundamental, pode-se afirmar que </w:t>
      </w:r>
      <w:r w:rsidR="00E86E33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o 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>ambiente</w:t>
      </w:r>
      <w:r w:rsidR="00E86E33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Escola Games (2021)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eastAsia="pt-BR"/>
        </w:rPr>
        <w:t xml:space="preserve"> promove, inclusive, a aprendizagem por simulação de habilidades previstas na BNCC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. </w:t>
      </w:r>
    </w:p>
    <w:p w14:paraId="3D19AE42" w14:textId="0B158A99" w:rsidR="006B3749" w:rsidRDefault="006B3749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A amplificação da imaginação individual </w:t>
      </w:r>
      <w:r w:rsidR="00146CB7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é uma característica da aprendizagem por simualação que pode ser estimulada por meio de jogos digitais nos anos iniciais do Ensino Fundamental, mas para isso, é necessário que os educadores reconheçam nesses jogos habilidades presentes no currículo, para que possamos ir além do uso meramente recreativo desses</w:t>
      </w:r>
      <w:r w:rsidR="00FA2786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 dos jogos digitais educativos</w:t>
      </w:r>
      <w:r w:rsidR="00461272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.</w:t>
      </w:r>
    </w:p>
    <w:p w14:paraId="71A6B5AB" w14:textId="6D8055A4" w:rsidR="00461272" w:rsidRPr="00D325C5" w:rsidRDefault="00461272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</w:pPr>
      <w:r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Os jogos digitais podem ser recursos didáticos amplamente socializados, discutidos e oficializados no currículo, desde que se crie uma inteligência coletiva construída tanto por profissionais da área da Educação quanto por estudantes, os quais podem interagir para a criação de fóruns de discussão sobre o uso dos jogos digitais educacionais. Tal como o l</w:t>
      </w:r>
      <w:r w:rsidR="0026568D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i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vro didático, eles também pode vir a ser considerados materiais de apoio </w:t>
      </w:r>
      <w:r w:rsidR="0026568D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pedagógico</w:t>
      </w:r>
      <w:r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, e aguns podem até mesmo tornarem-se referências recorrentes. </w:t>
      </w:r>
    </w:p>
    <w:p w14:paraId="0E36F471" w14:textId="37599398" w:rsidR="00D325C5" w:rsidRPr="00D325C5" w:rsidRDefault="00D325C5" w:rsidP="00D325C5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</w:pP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Para concluir, a aprendizagem por simu</w:t>
      </w:r>
      <w:r w:rsidR="00E90BFC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la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ção através de jogos </w:t>
      </w:r>
      <w:r w:rsidR="00B22441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digitais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 para desenvolver habilidades</w:t>
      </w:r>
      <w:r w:rsidR="00B22441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 nos anos iniciais do Ensino Fundamental,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 como a de contar</w:t>
      </w:r>
      <w:r w:rsidR="00B22441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>, por exemplo,</w:t>
      </w:r>
      <w:r w:rsidRPr="00D325C5">
        <w:rPr>
          <w:rFonts w:ascii="Times New Roman" w:eastAsia="Calibri" w:hAnsi="Times New Roman" w:cs="Times New Roman"/>
          <w:color w:val="000000"/>
          <w:kern w:val="0"/>
          <w:u w:color="000000"/>
          <w:lang w:val="it-IT" w:eastAsia="pt-BR"/>
        </w:rPr>
        <w:t xml:space="preserve"> pode acontecer com intencionalidade pedagógica, respaldada por habilidades previstas no currículo oficial.</w:t>
      </w:r>
    </w:p>
    <w:p w14:paraId="6D4C5B34" w14:textId="77777777" w:rsidR="00D325C5" w:rsidRPr="00D325C5" w:rsidRDefault="00D325C5" w:rsidP="00D325C5">
      <w:pPr>
        <w:suppressAutoHyphens w:val="0"/>
        <w:spacing w:after="0"/>
        <w:ind w:firstLine="550"/>
        <w:jc w:val="both"/>
        <w:rPr>
          <w:rFonts w:ascii="Times New Roman" w:eastAsia="Arial Unicode MS" w:hAnsi="Times New Roman" w:cs="Times New Roman"/>
          <w:color w:val="auto"/>
          <w:kern w:val="0"/>
        </w:rPr>
      </w:pPr>
    </w:p>
    <w:p w14:paraId="2553D706" w14:textId="77777777" w:rsidR="00D325C5" w:rsidRPr="00D325C5" w:rsidRDefault="00D325C5" w:rsidP="00D325C5">
      <w:pPr>
        <w:suppressAutoHyphens w:val="0"/>
        <w:spacing w:after="0"/>
        <w:rPr>
          <w:rFonts w:ascii="Times New Roman" w:eastAsia="Arial" w:hAnsi="Times New Roman" w:cs="Times New Roman"/>
          <w:b/>
          <w:bCs/>
          <w:color w:val="000000"/>
          <w:kern w:val="0"/>
          <w:u w:color="000000"/>
          <w:lang w:eastAsia="pt-BR"/>
        </w:rPr>
      </w:pP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val="de-DE" w:eastAsia="pt-BR"/>
        </w:rPr>
        <w:lastRenderedPageBreak/>
        <w:t>REFER</w:t>
      </w: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val="pt-PT" w:eastAsia="pt-BR"/>
        </w:rPr>
        <w:t>Ê</w:t>
      </w:r>
      <w:r w:rsidRPr="00D325C5">
        <w:rPr>
          <w:rFonts w:ascii="Times New Roman" w:eastAsia="Calibri" w:hAnsi="Times New Roman" w:cs="Times New Roman"/>
          <w:b/>
          <w:bCs/>
          <w:color w:val="000000"/>
          <w:kern w:val="0"/>
          <w:u w:color="000000"/>
          <w:lang w:val="da-DK" w:eastAsia="pt-BR"/>
        </w:rPr>
        <w:t>NCIAS</w:t>
      </w:r>
    </w:p>
    <w:p w14:paraId="1C6CC1D8" w14:textId="77777777" w:rsidR="00D325C5" w:rsidRPr="00D325C5" w:rsidRDefault="00D325C5" w:rsidP="00D325C5">
      <w:pPr>
        <w:suppressAutoHyphens w:val="0"/>
        <w:spacing w:after="0"/>
        <w:jc w:val="both"/>
        <w:rPr>
          <w:rFonts w:ascii="Times New Roman" w:eastAsia="Arial" w:hAnsi="Times New Roman" w:cs="Times New Roman"/>
          <w:color w:val="000000"/>
          <w:kern w:val="0"/>
          <w:u w:val="single" w:color="000000"/>
          <w:lang w:eastAsia="pt-BR"/>
        </w:rPr>
      </w:pPr>
    </w:p>
    <w:p w14:paraId="3339CD82" w14:textId="16D598E2" w:rsidR="00D07EEC" w:rsidRDefault="00D07EEC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BECK, V. C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; SILVA, J. A. A influência da teoria dos campos conceituais nas pesquisas sobre estratégias utilizadas por crianças em problemas aditivos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val="en-US"/>
        </w:rPr>
        <w:t>Schème - Revista Eletrônica de Psicologia e Epistemologia Genéticas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, v.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9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, n.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1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, p.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5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6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69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, 201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7.</w:t>
      </w:r>
    </w:p>
    <w:p w14:paraId="295C02D7" w14:textId="49E5B6F7" w:rsidR="00D07EEC" w:rsidRDefault="00D07EEC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</w:p>
    <w:p w14:paraId="13554BF2" w14:textId="12B7E0DA" w:rsidR="00D325C5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BRASIL. </w:t>
      </w:r>
      <w:r w:rsidRPr="008B3C2F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</w:rPr>
        <w:t>Base Nacional Comum Curricular - BNCC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.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 2017</w:t>
      </w:r>
      <w:r w:rsidR="00C154B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/2018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.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 Disponível em: &lt;</w:t>
      </w:r>
      <w:hyperlink r:id="rId15" w:history="1">
        <w:r w:rsidRPr="008B3C2F">
          <w:rPr>
            <w:rFonts w:ascii="Times New Roman" w:eastAsia="Times New Roman" w:hAnsi="Times New Roman" w:cs="Times New Roman"/>
            <w:color w:val="000000"/>
            <w:kern w:val="0"/>
            <w:sz w:val="22"/>
            <w:szCs w:val="22"/>
            <w:u w:val="single"/>
          </w:rPr>
          <w:t>http://basenacionalcomum.mec.gov.br/</w:t>
        </w:r>
      </w:hyperlink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&gt;. 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Acesso em: 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18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jan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. 202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1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.</w:t>
      </w:r>
    </w:p>
    <w:p w14:paraId="506A01F4" w14:textId="0DD9DEF0" w:rsidR="00E5257B" w:rsidRDefault="00E5257B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</w:p>
    <w:p w14:paraId="7A4A42E0" w14:textId="360B8FDE" w:rsidR="00E5257B" w:rsidRPr="008B3C2F" w:rsidRDefault="00E5257B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  <w:r w:rsidRPr="00E5257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CHAPIN, S. H.; JOHNSON, A. </w:t>
      </w:r>
      <w:r w:rsidRPr="00E5257B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val="en-US"/>
        </w:rPr>
        <w:t>Math matters</w:t>
      </w:r>
      <w:r w:rsidRPr="00E5257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: understanding the Math you teach, grades K-6. 2ed. Sausalito, CA, USA: Math Solutions, 2006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.</w:t>
      </w:r>
    </w:p>
    <w:p w14:paraId="4A4F3989" w14:textId="77777777" w:rsidR="00D325C5" w:rsidRPr="008B3C2F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</w:p>
    <w:p w14:paraId="5C5F2691" w14:textId="15405F8A" w:rsidR="00D325C5" w:rsidRPr="008B3C2F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ESCOLA GAMES. </w:t>
      </w:r>
      <w:r w:rsidRPr="008B3C2F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</w:rPr>
        <w:t>Site Escola Games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. Disponível em: &lt;</w:t>
      </w:r>
      <w:r w:rsidRPr="008B3C2F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http://www.escolagames.com.br/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&gt;. 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Acesso em: 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18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jan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. 202</w:t>
      </w:r>
      <w:r w:rsidR="001702C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1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.</w:t>
      </w:r>
    </w:p>
    <w:p w14:paraId="495774CC" w14:textId="77777777" w:rsidR="00D325C5" w:rsidRPr="008B3C2F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</w:p>
    <w:p w14:paraId="3B289412" w14:textId="08723100" w:rsidR="00D325C5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B3C2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GIL, A. C. </w:t>
      </w:r>
      <w:r w:rsidRPr="008B3C2F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Como elaborar projetos de pesquisa</w:t>
      </w:r>
      <w:r w:rsidRPr="008B3C2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 4. ed. São Paulo: Atlas, 2008.</w:t>
      </w:r>
    </w:p>
    <w:p w14:paraId="1FCE6FEB" w14:textId="4DA85693" w:rsidR="00BE79D8" w:rsidRDefault="00BE79D8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4E0E14D3" w14:textId="6A896B1A" w:rsidR="00BE79D8" w:rsidRPr="008B3C2F" w:rsidRDefault="00BE79D8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E79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KAMII, C. </w:t>
      </w:r>
      <w:r w:rsidRPr="00210E6D">
        <w:rPr>
          <w:rFonts w:ascii="Times New Roman" w:eastAsia="Times New Roman" w:hAnsi="Times New Roman" w:cs="Times New Roman"/>
          <w:b/>
          <w:bCs/>
          <w:color w:val="auto"/>
          <w:kern w:val="0"/>
          <w:sz w:val="22"/>
          <w:szCs w:val="22"/>
        </w:rPr>
        <w:t>A criança e o número</w:t>
      </w:r>
      <w:r w:rsidRPr="00BE79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: implicações </w:t>
      </w:r>
      <w:r w:rsidR="00A16B56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educacionais </w:t>
      </w:r>
      <w:r w:rsidRPr="00BE79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da teoria de Piaget</w:t>
      </w:r>
      <w:r w:rsidR="00A16B56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para a atuação com escolares de 4 a 6 anos</w:t>
      </w:r>
      <w:r w:rsidRPr="00BE79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  <w:r w:rsidR="00A16B56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Trad. Regina A. Assis. 39 ed., Campinas, SP: Papirus, 2012.</w:t>
      </w:r>
    </w:p>
    <w:p w14:paraId="58F7F5AA" w14:textId="3B986F0C" w:rsidR="005F0FC0" w:rsidRPr="008B3C2F" w:rsidRDefault="005F0FC0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1161B9A8" w14:textId="7507676D" w:rsidR="00D325C5" w:rsidRPr="008B3C2F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KRIPKA, R. M. L.; SCHELLER, M.; BONOTTO, D. L. Pesquisa documental na perspectiva qualitativa: conceitos e caracterização. </w:t>
      </w:r>
      <w:r w:rsidRPr="008B3C2F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val="en-US"/>
        </w:rPr>
        <w:t>Revista de Investigaciones UNAD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, v.</w:t>
      </w:r>
      <w:r w:rsidR="00D07EEC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14, n.</w:t>
      </w:r>
      <w:r w:rsidR="00D07EEC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2, p.</w:t>
      </w:r>
      <w:r w:rsidR="00D07EEC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 xml:space="preserve"> 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  <w:t>55-73, 2015.</w:t>
      </w:r>
    </w:p>
    <w:p w14:paraId="6D1C1E7F" w14:textId="77777777" w:rsidR="00D325C5" w:rsidRPr="008B3C2F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en-US"/>
        </w:rPr>
      </w:pPr>
    </w:p>
    <w:p w14:paraId="6ACADE61" w14:textId="556EBF68" w:rsidR="00D325C5" w:rsidRPr="008B3C2F" w:rsidRDefault="00D325C5" w:rsidP="00D325C5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</w:pP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LÉVY, P. </w:t>
      </w:r>
      <w:r w:rsidRPr="008B3C2F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</w:rPr>
        <w:t>Cibercultura</w:t>
      </w:r>
      <w:r w:rsidRPr="008B3C2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. Trad. Carlos Irineu da Costa. 3. ed. São Paulo: Editora 34, 2010. 272 p.</w:t>
      </w:r>
    </w:p>
    <w:p w14:paraId="5647EB75" w14:textId="77777777" w:rsidR="000C6BBE" w:rsidRPr="008B3C2F" w:rsidRDefault="000C6BBE" w:rsidP="00D325C5">
      <w:pPr>
        <w:rPr>
          <w:sz w:val="22"/>
          <w:szCs w:val="22"/>
        </w:rPr>
      </w:pPr>
    </w:p>
    <w:sectPr w:rsidR="000C6BBE" w:rsidRPr="008B3C2F" w:rsidSect="00144BA8">
      <w:headerReference w:type="default" r:id="rId16"/>
      <w:footerReference w:type="default" r:id="rId17"/>
      <w:footerReference w:type="first" r:id="rId18"/>
      <w:pgSz w:w="12240" w:h="15840"/>
      <w:pgMar w:top="1440" w:right="1800" w:bottom="708" w:left="1800" w:header="708" w:footer="720" w:gutter="0"/>
      <w:pgNumType w:start="1"/>
      <w:cols w:space="720"/>
      <w:titlePg/>
      <w:docGrid w:linePitch="326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4BAAB7" w14:textId="77777777" w:rsidR="00285F30" w:rsidRDefault="00285F30" w:rsidP="006208EB">
      <w:pPr>
        <w:spacing w:after="0"/>
      </w:pPr>
      <w:r>
        <w:separator/>
      </w:r>
    </w:p>
  </w:endnote>
  <w:endnote w:type="continuationSeparator" w:id="0">
    <w:p w14:paraId="48DB0588" w14:textId="77777777" w:rsidR="00285F30" w:rsidRDefault="00285F30" w:rsidP="006208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1"/>
    <w:family w:val="auto"/>
    <w:pitch w:val="variable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9421854"/>
      <w:docPartObj>
        <w:docPartGallery w:val="Page Numbers (Bottom of Page)"/>
        <w:docPartUnique/>
      </w:docPartObj>
    </w:sdtPr>
    <w:sdtEndPr/>
    <w:sdtContent>
      <w:p w14:paraId="5734E742" w14:textId="325D6DED" w:rsidR="00144BA8" w:rsidRDefault="00144BA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C7CE5D" w14:textId="77777777" w:rsidR="00E45DAF" w:rsidRDefault="00E45D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316042"/>
      <w:docPartObj>
        <w:docPartGallery w:val="Page Numbers (Bottom of Page)"/>
        <w:docPartUnique/>
      </w:docPartObj>
    </w:sdtPr>
    <w:sdtEndPr/>
    <w:sdtContent>
      <w:p w14:paraId="117BA8BC" w14:textId="67F46053" w:rsidR="00144BA8" w:rsidRDefault="00144BA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EA2DE7" w14:textId="77777777" w:rsidR="00B42BEA" w:rsidRPr="00B42BEA" w:rsidRDefault="00B42BEA" w:rsidP="00B42B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77911" w14:textId="77777777" w:rsidR="00285F30" w:rsidRDefault="00285F30" w:rsidP="006208EB">
      <w:pPr>
        <w:spacing w:after="0"/>
      </w:pPr>
      <w:r>
        <w:separator/>
      </w:r>
    </w:p>
  </w:footnote>
  <w:footnote w:type="continuationSeparator" w:id="0">
    <w:p w14:paraId="30B31DD2" w14:textId="77777777" w:rsidR="00285F30" w:rsidRDefault="00285F30" w:rsidP="006208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7C6EB" w14:textId="3AA98A71" w:rsidR="006208EB" w:rsidRDefault="006208EB" w:rsidP="00D325C5">
    <w:pPr>
      <w:spacing w:after="0"/>
      <w:rPr>
        <w:rFonts w:ascii="Times New Roman" w:hAnsi="Times New Roman" w:cs="Times New Roman"/>
        <w:b/>
        <w:sz w:val="28"/>
        <w:lang w:eastAsia="en-GB"/>
      </w:rPr>
    </w:pPr>
    <w:r w:rsidRPr="006208EB">
      <w:rPr>
        <w:rFonts w:ascii="Times New Roman" w:hAnsi="Times New Roman" w:cs="Times New Roman"/>
        <w:sz w:val="28"/>
        <w:lang w:val="en-GB" w:eastAsia="en-GB"/>
      </w:rPr>
      <w:drawing>
        <wp:anchor distT="0" distB="0" distL="114300" distR="114300" simplePos="0" relativeHeight="251659264" behindDoc="1" locked="0" layoutInCell="1" allowOverlap="1" wp14:anchorId="2E521BF0" wp14:editId="09CEE777">
          <wp:simplePos x="0" y="0"/>
          <wp:positionH relativeFrom="column">
            <wp:posOffset>-695325</wp:posOffset>
          </wp:positionH>
          <wp:positionV relativeFrom="paragraph">
            <wp:posOffset>26670</wp:posOffset>
          </wp:positionV>
          <wp:extent cx="1186180" cy="788670"/>
          <wp:effectExtent l="0" t="0" r="0" b="0"/>
          <wp:wrapNone/>
          <wp:docPr id="10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5C5">
      <w:rPr>
        <w:rFonts w:ascii="Times New Roman" w:hAnsi="Times New Roman" w:cs="Times New Roman"/>
        <w:b/>
        <w:sz w:val="28"/>
        <w:lang w:eastAsia="en-GB"/>
      </w:rPr>
      <w:t xml:space="preserve">                          </w:t>
    </w:r>
    <w:r w:rsidRPr="006208EB">
      <w:rPr>
        <w:rFonts w:ascii="Times New Roman" w:hAnsi="Times New Roman" w:cs="Times New Roman"/>
        <w:b/>
        <w:sz w:val="28"/>
        <w:lang w:eastAsia="en-GB"/>
      </w:rPr>
      <w:t>X</w:t>
    </w:r>
    <w:r w:rsidR="005667C6">
      <w:rPr>
        <w:rFonts w:ascii="Times New Roman" w:hAnsi="Times New Roman" w:cs="Times New Roman"/>
        <w:b/>
        <w:sz w:val="28"/>
        <w:lang w:eastAsia="en-GB"/>
      </w:rPr>
      <w:t>III</w:t>
    </w:r>
    <w:r w:rsidRPr="006208EB">
      <w:rPr>
        <w:rFonts w:ascii="Times New Roman" w:hAnsi="Times New Roman" w:cs="Times New Roman"/>
        <w:b/>
        <w:sz w:val="28"/>
        <w:lang w:eastAsia="en-GB"/>
      </w:rPr>
      <w:t xml:space="preserve"> Simpósio Nacional </w:t>
    </w:r>
    <w:r w:rsidR="00906F1F">
      <w:rPr>
        <w:rFonts w:ascii="Times New Roman" w:hAnsi="Times New Roman" w:cs="Times New Roman"/>
        <w:b/>
        <w:sz w:val="28"/>
        <w:lang w:eastAsia="en-GB"/>
      </w:rPr>
      <w:t xml:space="preserve">da </w:t>
    </w:r>
    <w:r w:rsidRPr="006208EB">
      <w:rPr>
        <w:rFonts w:ascii="Times New Roman" w:hAnsi="Times New Roman" w:cs="Times New Roman"/>
        <w:b/>
        <w:sz w:val="28"/>
        <w:lang w:eastAsia="en-GB"/>
      </w:rPr>
      <w:t>ABCiber</w:t>
    </w:r>
    <w:r w:rsidR="00BD35DD">
      <w:rPr>
        <w:rFonts w:ascii="Times New Roman" w:hAnsi="Times New Roman" w:cs="Times New Roman"/>
        <w:b/>
        <w:sz w:val="28"/>
        <w:lang w:eastAsia="en-GB"/>
      </w:rPr>
      <w:t xml:space="preserve">                  </w:t>
    </w:r>
  </w:p>
  <w:p w14:paraId="7F5ACCA8" w14:textId="1530E08D" w:rsidR="00BD35DD" w:rsidRDefault="00D325C5" w:rsidP="00D325C5">
    <w:pPr>
      <w:spacing w:after="0"/>
      <w:jc w:val="center"/>
      <w:rPr>
        <w:rFonts w:ascii="Times New Roman" w:hAnsi="Times New Roman" w:cs="Times New Roman"/>
        <w:lang w:eastAsia="en-GB"/>
      </w:rPr>
    </w:pPr>
    <w:r>
      <w:rPr>
        <w:rFonts w:ascii="Times New Roman" w:hAnsi="Times New Roman" w:cs="Times New Roman"/>
        <w:lang w:eastAsia="en-GB"/>
      </w:rPr>
      <w:drawing>
        <wp:anchor distT="0" distB="0" distL="114300" distR="114300" simplePos="0" relativeHeight="251660288" behindDoc="1" locked="0" layoutInCell="1" allowOverlap="1" wp14:anchorId="28C308D7" wp14:editId="18269B20">
          <wp:simplePos x="0" y="0"/>
          <wp:positionH relativeFrom="column">
            <wp:posOffset>5076825</wp:posOffset>
          </wp:positionH>
          <wp:positionV relativeFrom="paragraph">
            <wp:posOffset>12700</wp:posOffset>
          </wp:positionV>
          <wp:extent cx="987425" cy="703580"/>
          <wp:effectExtent l="0" t="0" r="3175" b="1270"/>
          <wp:wrapNone/>
          <wp:docPr id="4" name="Picture 4" descr="A city at n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py of Stor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87425" cy="703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35DD" w:rsidRPr="00BD35DD">
      <w:rPr>
        <w:rFonts w:ascii="Times New Roman" w:hAnsi="Times New Roman" w:cs="Times New Roman"/>
        <w:lang w:eastAsia="en-GB"/>
      </w:rPr>
      <w:t>Virtualização da vida: futuros imediatos, tecnopolíticas</w:t>
    </w:r>
  </w:p>
  <w:p w14:paraId="084F18C8" w14:textId="0BB9ED23" w:rsidR="00BD35DD" w:rsidRPr="00BD35DD" w:rsidRDefault="00BD35DD" w:rsidP="00D325C5">
    <w:pPr>
      <w:spacing w:after="0"/>
      <w:jc w:val="center"/>
      <w:rPr>
        <w:rFonts w:ascii="Times New Roman" w:hAnsi="Times New Roman" w:cs="Times New Roman"/>
        <w:lang w:eastAsia="en-GB"/>
      </w:rPr>
    </w:pPr>
    <w:r w:rsidRPr="00BD35DD">
      <w:rPr>
        <w:rFonts w:ascii="Times New Roman" w:hAnsi="Times New Roman" w:cs="Times New Roman"/>
        <w:lang w:eastAsia="en-GB"/>
      </w:rPr>
      <w:t>e reconstrução do comum no cenário pós-pandemia.</w:t>
    </w:r>
  </w:p>
  <w:p w14:paraId="5D766328" w14:textId="69984485" w:rsidR="00BD35DD" w:rsidRPr="00BD35DD" w:rsidRDefault="00BD35DD" w:rsidP="00D325C5">
    <w:pPr>
      <w:spacing w:after="0"/>
      <w:jc w:val="center"/>
      <w:rPr>
        <w:rFonts w:ascii="Times New Roman" w:hAnsi="Times New Roman" w:cs="Times New Roman"/>
        <w:lang w:eastAsia="en-GB"/>
      </w:rPr>
    </w:pPr>
    <w:r w:rsidRPr="00BD35DD">
      <w:rPr>
        <w:rFonts w:ascii="Times New Roman" w:hAnsi="Times New Roman" w:cs="Times New Roman"/>
        <w:lang w:eastAsia="en-GB"/>
      </w:rPr>
      <w:t>16 a 19 de dezembro de 2020 – Escola de Comunicações</w:t>
    </w:r>
  </w:p>
  <w:p w14:paraId="24BAB189" w14:textId="6324D3ED" w:rsidR="00BD35DD" w:rsidRDefault="00BD35DD" w:rsidP="00D325C5">
    <w:pPr>
      <w:spacing w:after="0"/>
      <w:jc w:val="center"/>
      <w:rPr>
        <w:rFonts w:ascii="Times New Roman" w:hAnsi="Times New Roman" w:cs="Times New Roman"/>
        <w:lang w:eastAsia="en-GB"/>
      </w:rPr>
    </w:pPr>
    <w:r w:rsidRPr="00BD35DD">
      <w:rPr>
        <w:rFonts w:ascii="Times New Roman" w:hAnsi="Times New Roman" w:cs="Times New Roman"/>
        <w:lang w:eastAsia="en-GB"/>
      </w:rPr>
      <w:t>da Universidade Federal do Rio de Janeiro.</w:t>
    </w:r>
  </w:p>
  <w:p w14:paraId="1DCEC981" w14:textId="555F6A82" w:rsidR="009C134C" w:rsidRPr="00BD35DD" w:rsidRDefault="005667C6" w:rsidP="00BD35DD">
    <w:pPr>
      <w:spacing w:after="0"/>
      <w:ind w:left="6372"/>
      <w:rPr>
        <w:rFonts w:ascii="Times New Roman" w:hAnsi="Times New Roman" w:cs="Times New Roman"/>
        <w:b/>
        <w:lang w:eastAsia="en-GB"/>
      </w:rPr>
    </w:pPr>
    <w:r>
      <w:rPr>
        <w:rFonts w:ascii="Times New Roman" w:hAnsi="Times New Roman" w:cs="Times New Roman"/>
        <w:b/>
        <w:lang w:eastAsia="en-GB"/>
      </w:rPr>
      <w:t xml:space="preserve"> </w:t>
    </w:r>
    <w:r w:rsidR="00BD35DD">
      <w:rPr>
        <w:rFonts w:ascii="Times New Roman" w:hAnsi="Times New Roman" w:cs="Times New Roman"/>
        <w:b/>
        <w:lang w:eastAsia="en-GB"/>
      </w:rPr>
      <w:t xml:space="preserve">           </w:t>
    </w:r>
    <w:r>
      <w:rPr>
        <w:rFonts w:ascii="Times New Roman" w:hAnsi="Times New Roman" w:cs="Times New Roman"/>
        <w:lang w:eastAsia="en-GB"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8EB"/>
    <w:rsid w:val="000028B3"/>
    <w:rsid w:val="00003A4B"/>
    <w:rsid w:val="000203F8"/>
    <w:rsid w:val="000218C3"/>
    <w:rsid w:val="0004612A"/>
    <w:rsid w:val="00047C18"/>
    <w:rsid w:val="000619ED"/>
    <w:rsid w:val="000779B0"/>
    <w:rsid w:val="000A4D48"/>
    <w:rsid w:val="000C592C"/>
    <w:rsid w:val="000C6BBE"/>
    <w:rsid w:val="000E1FCB"/>
    <w:rsid w:val="000E5FA5"/>
    <w:rsid w:val="000F2F80"/>
    <w:rsid w:val="00105721"/>
    <w:rsid w:val="00111C5D"/>
    <w:rsid w:val="00132267"/>
    <w:rsid w:val="00144BA8"/>
    <w:rsid w:val="00146CB7"/>
    <w:rsid w:val="001612B2"/>
    <w:rsid w:val="00161B8A"/>
    <w:rsid w:val="001702C3"/>
    <w:rsid w:val="00177AB1"/>
    <w:rsid w:val="001837F3"/>
    <w:rsid w:val="001A0A67"/>
    <w:rsid w:val="001A112C"/>
    <w:rsid w:val="001B4D11"/>
    <w:rsid w:val="001C1509"/>
    <w:rsid w:val="001E110A"/>
    <w:rsid w:val="001E3CC3"/>
    <w:rsid w:val="002037E6"/>
    <w:rsid w:val="00210E6D"/>
    <w:rsid w:val="00211968"/>
    <w:rsid w:val="00225C88"/>
    <w:rsid w:val="00242669"/>
    <w:rsid w:val="002558F2"/>
    <w:rsid w:val="0026568D"/>
    <w:rsid w:val="0027139E"/>
    <w:rsid w:val="00285F30"/>
    <w:rsid w:val="002B1B25"/>
    <w:rsid w:val="002B60B0"/>
    <w:rsid w:val="002B6DD4"/>
    <w:rsid w:val="002E324C"/>
    <w:rsid w:val="00301348"/>
    <w:rsid w:val="00311FF2"/>
    <w:rsid w:val="0031216B"/>
    <w:rsid w:val="00316238"/>
    <w:rsid w:val="003466CE"/>
    <w:rsid w:val="003830B6"/>
    <w:rsid w:val="003C6A50"/>
    <w:rsid w:val="003F6A8D"/>
    <w:rsid w:val="00451273"/>
    <w:rsid w:val="00454434"/>
    <w:rsid w:val="00461272"/>
    <w:rsid w:val="00482770"/>
    <w:rsid w:val="004A14F5"/>
    <w:rsid w:val="004E64B5"/>
    <w:rsid w:val="00522891"/>
    <w:rsid w:val="005359AF"/>
    <w:rsid w:val="005414F2"/>
    <w:rsid w:val="00551E94"/>
    <w:rsid w:val="005667C6"/>
    <w:rsid w:val="005722A7"/>
    <w:rsid w:val="00593B48"/>
    <w:rsid w:val="00593ECE"/>
    <w:rsid w:val="005A2218"/>
    <w:rsid w:val="005A398E"/>
    <w:rsid w:val="005B19AE"/>
    <w:rsid w:val="005B5143"/>
    <w:rsid w:val="005E1E4A"/>
    <w:rsid w:val="005F0FC0"/>
    <w:rsid w:val="006208EB"/>
    <w:rsid w:val="00633BC2"/>
    <w:rsid w:val="0067415E"/>
    <w:rsid w:val="006975E0"/>
    <w:rsid w:val="006B3749"/>
    <w:rsid w:val="006C038B"/>
    <w:rsid w:val="006C16F9"/>
    <w:rsid w:val="006D4CC5"/>
    <w:rsid w:val="006E241B"/>
    <w:rsid w:val="006F4357"/>
    <w:rsid w:val="006F4F58"/>
    <w:rsid w:val="00703BCE"/>
    <w:rsid w:val="00710741"/>
    <w:rsid w:val="00723312"/>
    <w:rsid w:val="00752B06"/>
    <w:rsid w:val="007729C0"/>
    <w:rsid w:val="0079759C"/>
    <w:rsid w:val="007B23CA"/>
    <w:rsid w:val="007B607E"/>
    <w:rsid w:val="007F371A"/>
    <w:rsid w:val="0082253E"/>
    <w:rsid w:val="008246E9"/>
    <w:rsid w:val="00862883"/>
    <w:rsid w:val="00866961"/>
    <w:rsid w:val="008A293B"/>
    <w:rsid w:val="008B14E8"/>
    <w:rsid w:val="008B3C2F"/>
    <w:rsid w:val="008D0F65"/>
    <w:rsid w:val="008D7E96"/>
    <w:rsid w:val="008F66AB"/>
    <w:rsid w:val="0090256B"/>
    <w:rsid w:val="00906F1F"/>
    <w:rsid w:val="009B1C2D"/>
    <w:rsid w:val="009B501F"/>
    <w:rsid w:val="009C1D47"/>
    <w:rsid w:val="00A04751"/>
    <w:rsid w:val="00A159DE"/>
    <w:rsid w:val="00A16B56"/>
    <w:rsid w:val="00A261C2"/>
    <w:rsid w:val="00A37392"/>
    <w:rsid w:val="00A6773E"/>
    <w:rsid w:val="00A729B7"/>
    <w:rsid w:val="00A730D5"/>
    <w:rsid w:val="00A75E19"/>
    <w:rsid w:val="00A90A05"/>
    <w:rsid w:val="00AA15A1"/>
    <w:rsid w:val="00AA45D7"/>
    <w:rsid w:val="00AB7A09"/>
    <w:rsid w:val="00AC0477"/>
    <w:rsid w:val="00AE6CE2"/>
    <w:rsid w:val="00B22441"/>
    <w:rsid w:val="00B37587"/>
    <w:rsid w:val="00B42BEA"/>
    <w:rsid w:val="00B61344"/>
    <w:rsid w:val="00B656E4"/>
    <w:rsid w:val="00B836C8"/>
    <w:rsid w:val="00B92788"/>
    <w:rsid w:val="00BA510C"/>
    <w:rsid w:val="00BC1147"/>
    <w:rsid w:val="00BC5D35"/>
    <w:rsid w:val="00BD35DD"/>
    <w:rsid w:val="00BD5140"/>
    <w:rsid w:val="00BE79D8"/>
    <w:rsid w:val="00C154B6"/>
    <w:rsid w:val="00C173B3"/>
    <w:rsid w:val="00C2456D"/>
    <w:rsid w:val="00C560F0"/>
    <w:rsid w:val="00C5684E"/>
    <w:rsid w:val="00C77E79"/>
    <w:rsid w:val="00C81A0C"/>
    <w:rsid w:val="00C83418"/>
    <w:rsid w:val="00C84E62"/>
    <w:rsid w:val="00CA09A6"/>
    <w:rsid w:val="00CA5BA1"/>
    <w:rsid w:val="00CE0476"/>
    <w:rsid w:val="00D07EEC"/>
    <w:rsid w:val="00D179B9"/>
    <w:rsid w:val="00D2389A"/>
    <w:rsid w:val="00D325C5"/>
    <w:rsid w:val="00D4445F"/>
    <w:rsid w:val="00D6169F"/>
    <w:rsid w:val="00D6535B"/>
    <w:rsid w:val="00D94336"/>
    <w:rsid w:val="00D97AB9"/>
    <w:rsid w:val="00DA0B48"/>
    <w:rsid w:val="00DC4996"/>
    <w:rsid w:val="00DD1235"/>
    <w:rsid w:val="00DD4B4E"/>
    <w:rsid w:val="00DE3D9F"/>
    <w:rsid w:val="00DE5D33"/>
    <w:rsid w:val="00E0679C"/>
    <w:rsid w:val="00E209B1"/>
    <w:rsid w:val="00E2771B"/>
    <w:rsid w:val="00E43EDC"/>
    <w:rsid w:val="00E449FE"/>
    <w:rsid w:val="00E45DAF"/>
    <w:rsid w:val="00E5257B"/>
    <w:rsid w:val="00E63667"/>
    <w:rsid w:val="00E664A2"/>
    <w:rsid w:val="00E8528D"/>
    <w:rsid w:val="00E86E33"/>
    <w:rsid w:val="00E90BFC"/>
    <w:rsid w:val="00EA5B2B"/>
    <w:rsid w:val="00ED54ED"/>
    <w:rsid w:val="00EF7A95"/>
    <w:rsid w:val="00FA2786"/>
    <w:rsid w:val="00FD7DBB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BE94D"/>
  <w15:chartTrackingRefBased/>
  <w15:docId w15:val="{48374E2D-EDEF-4659-BC06-3D17CB88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drão"/>
    <w:qFormat/>
    <w:rsid w:val="006208EB"/>
    <w:pPr>
      <w:suppressAutoHyphens/>
      <w:spacing w:after="200" w:line="240" w:lineRule="auto"/>
    </w:pPr>
    <w:rPr>
      <w:rFonts w:ascii="Cambria" w:eastAsia="Cambria" w:hAnsi="Cambria" w:cs="DejaVu Sans"/>
      <w:noProof/>
      <w:color w:val="00000A"/>
      <w:kern w:val="1"/>
      <w:sz w:val="24"/>
      <w:szCs w:val="24"/>
    </w:rPr>
  </w:style>
  <w:style w:type="paragraph" w:styleId="Ttulo1">
    <w:name w:val="heading 1"/>
    <w:aliases w:val="Subtítulos"/>
    <w:basedOn w:val="Normal"/>
    <w:next w:val="Normal"/>
    <w:link w:val="Ttulo1Char"/>
    <w:uiPriority w:val="9"/>
    <w:qFormat/>
    <w:rsid w:val="0031216B"/>
    <w:pPr>
      <w:keepNext/>
      <w:keepLines/>
      <w:suppressAutoHyphens w:val="0"/>
      <w:spacing w:before="240" w:after="0" w:line="360" w:lineRule="auto"/>
      <w:jc w:val="right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kern w:val="0"/>
      <w:sz w:val="26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aliases w:val="Citação ABNT"/>
    <w:uiPriority w:val="1"/>
    <w:qFormat/>
    <w:rsid w:val="006C038B"/>
    <w:pPr>
      <w:spacing w:after="0" w:line="240" w:lineRule="auto"/>
      <w:ind w:left="2832"/>
      <w:jc w:val="both"/>
    </w:pPr>
    <w:rPr>
      <w:rFonts w:ascii="Times New Roman" w:hAnsi="Times New Roman"/>
    </w:rPr>
  </w:style>
  <w:style w:type="character" w:customStyle="1" w:styleId="Ttulo1Char">
    <w:name w:val="Título 1 Char"/>
    <w:aliases w:val="Subtítulos Char"/>
    <w:basedOn w:val="Fontepargpadro"/>
    <w:link w:val="Ttulo1"/>
    <w:uiPriority w:val="9"/>
    <w:rsid w:val="0031216B"/>
    <w:rPr>
      <w:rFonts w:ascii="Times New Roman" w:eastAsiaTheme="majorEastAsia" w:hAnsi="Times New Roman" w:cstheme="majorBidi"/>
      <w:b/>
      <w:color w:val="2E74B5" w:themeColor="accent1" w:themeShade="BF"/>
      <w:sz w:val="26"/>
      <w:szCs w:val="32"/>
    </w:rPr>
  </w:style>
  <w:style w:type="character" w:customStyle="1" w:styleId="Caracteresdenotaderodap">
    <w:name w:val="Caracteres de nota de rodapé"/>
    <w:rsid w:val="006208EB"/>
  </w:style>
  <w:style w:type="character" w:styleId="Refdenotaderodap">
    <w:name w:val="footnote reference"/>
    <w:rsid w:val="006208EB"/>
    <w:rPr>
      <w:vertAlign w:val="superscript"/>
    </w:rPr>
  </w:style>
  <w:style w:type="paragraph" w:styleId="Textodenotaderodap">
    <w:name w:val="footnote text"/>
    <w:basedOn w:val="Normal"/>
    <w:link w:val="TextodenotaderodapChar"/>
    <w:qFormat/>
    <w:rsid w:val="006208EB"/>
  </w:style>
  <w:style w:type="character" w:customStyle="1" w:styleId="TextodenotaderodapChar">
    <w:name w:val="Texto de nota de rodapé Char"/>
    <w:basedOn w:val="Fontepargpadro"/>
    <w:link w:val="Textodenotaderodap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Corpodetexto2">
    <w:name w:val="Body Text 2"/>
    <w:basedOn w:val="Normal"/>
    <w:link w:val="Corpodetexto2Char"/>
    <w:rsid w:val="006208EB"/>
    <w:pPr>
      <w:shd w:val="clear" w:color="auto" w:fill="000080"/>
      <w:spacing w:after="0"/>
      <w:jc w:val="center"/>
    </w:pPr>
    <w:rPr>
      <w:rFonts w:ascii="Times New Roman" w:eastAsia="Times New Roman" w:hAnsi="Times New Roman" w:cs="Times New Roman"/>
      <w:b/>
      <w:sz w:val="7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6208EB"/>
    <w:rPr>
      <w:rFonts w:ascii="Times New Roman" w:eastAsia="Times New Roman" w:hAnsi="Times New Roman" w:cs="Times New Roman"/>
      <w:b/>
      <w:color w:val="00000A"/>
      <w:kern w:val="1"/>
      <w:sz w:val="70"/>
      <w:szCs w:val="20"/>
      <w:shd w:val="clear" w:color="auto" w:fill="00008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208EB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208EB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6208EB"/>
    <w:rPr>
      <w:rFonts w:ascii="Cambria" w:eastAsia="Cambria" w:hAnsi="Cambria" w:cs="DejaVu Sans"/>
      <w:color w:val="00000A"/>
      <w:kern w:val="1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8246E9"/>
    <w:pPr>
      <w:spacing w:before="240" w:after="240" w:line="36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auto"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246E9"/>
    <w:rPr>
      <w:rFonts w:ascii="Times New Roman" w:eastAsiaTheme="majorEastAsia" w:hAnsi="Times New Roman" w:cstheme="majorBidi"/>
      <w:b/>
      <w:caps/>
      <w:spacing w:val="-10"/>
      <w:kern w:val="28"/>
      <w:sz w:val="24"/>
      <w:szCs w:val="56"/>
    </w:rPr>
  </w:style>
  <w:style w:type="paragraph" w:customStyle="1" w:styleId="Citaolonga">
    <w:name w:val="Citação longa"/>
    <w:basedOn w:val="Normal"/>
    <w:next w:val="Normal"/>
    <w:qFormat/>
    <w:rsid w:val="008246E9"/>
    <w:pPr>
      <w:spacing w:before="240" w:after="240"/>
      <w:ind w:left="2268"/>
      <w:jc w:val="both"/>
    </w:pPr>
    <w:rPr>
      <w:rFonts w:ascii="Times New Roman" w:hAnsi="Times New Roman" w:cs="Times New Roman"/>
      <w:sz w:val="22"/>
    </w:rPr>
  </w:style>
  <w:style w:type="paragraph" w:customStyle="1" w:styleId="Pesquisadores">
    <w:name w:val="Pesquisadores"/>
    <w:basedOn w:val="Normal"/>
    <w:next w:val="Normal"/>
    <w:qFormat/>
    <w:rsid w:val="008246E9"/>
    <w:pPr>
      <w:spacing w:before="240" w:after="240"/>
      <w:jc w:val="center"/>
    </w:pPr>
    <w:rPr>
      <w:rFonts w:ascii="Times New Roman" w:hAnsi="Times New Roman" w:cs="Times New Roman"/>
      <w:b/>
      <w:bCs/>
    </w:rPr>
  </w:style>
  <w:style w:type="paragraph" w:customStyle="1" w:styleId="Referncias">
    <w:name w:val="Referências"/>
    <w:qFormat/>
    <w:rsid w:val="008246E9"/>
    <w:pPr>
      <w:spacing w:before="120" w:after="120" w:line="240" w:lineRule="auto"/>
      <w:ind w:firstLine="720"/>
      <w:jc w:val="both"/>
    </w:pPr>
    <w:rPr>
      <w:rFonts w:ascii="Times New Roman" w:eastAsia="Cambria" w:hAnsi="Times New Roman" w:cs="Times New Roman"/>
      <w:kern w:val="1"/>
    </w:rPr>
  </w:style>
  <w:style w:type="paragraph" w:customStyle="1" w:styleId="Palavras-chave">
    <w:name w:val="Palavras-chave"/>
    <w:basedOn w:val="Normal"/>
    <w:qFormat/>
    <w:rsid w:val="008246E9"/>
    <w:pPr>
      <w:spacing w:before="240" w:after="240" w:line="360" w:lineRule="auto"/>
      <w:ind w:firstLine="720"/>
      <w:jc w:val="both"/>
    </w:pPr>
    <w:rPr>
      <w:rFonts w:ascii="Times New Roman" w:hAnsi="Times New Roman" w:cs="Times New Roman"/>
    </w:rPr>
  </w:style>
  <w:style w:type="paragraph" w:customStyle="1" w:styleId="Estilo1">
    <w:name w:val="Estilo1"/>
    <w:basedOn w:val="Textodenotaderodap"/>
    <w:rsid w:val="008246E9"/>
    <w:pPr>
      <w:suppressAutoHyphens w:val="0"/>
      <w:spacing w:before="120" w:after="120"/>
      <w:ind w:firstLine="720"/>
      <w:jc w:val="both"/>
    </w:pPr>
    <w:rPr>
      <w:rFonts w:ascii="Times New Roman" w:hAnsi="Times New Roman" w:cs="Times New Roman"/>
      <w:color w:val="FF0000"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325C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325C5"/>
    <w:rPr>
      <w:rFonts w:ascii="Cambria" w:eastAsia="Cambria" w:hAnsi="Cambria" w:cs="DejaVu Sans"/>
      <w:color w:val="00000A"/>
      <w:kern w:val="1"/>
      <w:sz w:val="24"/>
      <w:szCs w:val="24"/>
    </w:rPr>
  </w:style>
  <w:style w:type="paragraph" w:customStyle="1" w:styleId="V-SIPEM-Pargrafos">
    <w:name w:val="V-SIPEM - Parágrafos"/>
    <w:rsid w:val="00D325C5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ResumoRevista">
    <w:name w:val="ResumoRevista"/>
    <w:basedOn w:val="Normal"/>
    <w:rsid w:val="00D325C5"/>
    <w:pPr>
      <w:spacing w:after="120" w:line="100" w:lineRule="atLeast"/>
      <w:ind w:firstLine="709"/>
      <w:jc w:val="both"/>
    </w:pPr>
    <w:rPr>
      <w:rFonts w:ascii="Calibri" w:eastAsia="Times New Roman" w:hAnsi="Calibri" w:cs="Calibri"/>
      <w:color w:val="auto"/>
      <w:kern w:val="0"/>
      <w:sz w:val="22"/>
      <w:szCs w:val="22"/>
      <w:lang w:eastAsia="ar-SA"/>
    </w:rPr>
  </w:style>
  <w:style w:type="character" w:customStyle="1" w:styleId="apple-converted-space">
    <w:name w:val="apple-converted-space"/>
    <w:rsid w:val="00D325C5"/>
  </w:style>
  <w:style w:type="character" w:styleId="Hyperlink">
    <w:name w:val="Hyperlink"/>
    <w:rsid w:val="00E45DAF"/>
    <w:rPr>
      <w:u w:val="single"/>
    </w:rPr>
  </w:style>
  <w:style w:type="paragraph" w:customStyle="1" w:styleId="CorpoA">
    <w:name w:val="Corpo A"/>
    <w:rsid w:val="00E45DAF"/>
    <w:pPr>
      <w:spacing w:after="0" w:line="240" w:lineRule="auto"/>
    </w:pPr>
    <w:rPr>
      <w:rFonts w:ascii="Calibri" w:eastAsia="Calibri" w:hAnsi="Calibri" w:cs="Calibri"/>
      <w:color w:val="000000"/>
      <w:u w:color="00000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45DAF"/>
    <w:rPr>
      <w:color w:val="605E5C"/>
      <w:shd w:val="clear" w:color="auto" w:fill="E1DFDD"/>
    </w:rPr>
  </w:style>
  <w:style w:type="paragraph" w:customStyle="1" w:styleId="Default">
    <w:name w:val="Default"/>
    <w:rsid w:val="00D07EEC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basenacionalcomum.mec.gov.br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27C61-4A45-4B23-8AA9-61736DF58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15</Pages>
  <Words>3420</Words>
  <Characters>18469</Characters>
  <Application>Microsoft Office Word</Application>
  <DocSecurity>0</DocSecurity>
  <Lines>153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Bonami</dc:creator>
  <cp:keywords/>
  <dc:description/>
  <cp:lastModifiedBy>Vinicius Carvalho Beck</cp:lastModifiedBy>
  <cp:revision>417</cp:revision>
  <dcterms:created xsi:type="dcterms:W3CDTF">2020-10-01T12:16:00Z</dcterms:created>
  <dcterms:modified xsi:type="dcterms:W3CDTF">2021-01-23T18:31:00Z</dcterms:modified>
</cp:coreProperties>
</file>