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823A7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USO DAS TECNOLOGIAS DIGITAIS POR PROFESSORES DE UNIVERSIDADES FEDERAIS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6BFC82E7" w14:textId="77777777" w:rsidR="0089648E" w:rsidRDefault="0089648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136B6F7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William Castro MORAIS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14:paraId="3B15F846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do Tocantins</w:t>
      </w:r>
    </w:p>
    <w:p w14:paraId="54E26766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Gessiela NASCIMENTO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</w:p>
    <w:p w14:paraId="0CA5A952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do Maranhão </w:t>
      </w:r>
    </w:p>
    <w:p w14:paraId="4A5D6C88" w14:textId="77777777" w:rsidR="0089648E" w:rsidRDefault="0089648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D196AA7" w14:textId="5BF05C92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pesquisa buscou verificar como os professores das Universidades Federais do Maranhão e Tocantins, do curso de Jornalismo, estão usando as Tecnologias Digitais, após a suspensão das aulas presenciais, por conta do coronavírus. Para coletar os dados,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público respondeu um questionário semiestruturado enviado por e-mail ou aplicativo de mensagens. Os resultados mostraram que antes da pandemia, o AVA/Moodle e mídias/redes sociais eram recursos utilizados, porém, durante esse isolamento social, a combinaç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ão de </w:t>
      </w:r>
      <w:r w:rsidR="0064178E">
        <w:rPr>
          <w:rFonts w:ascii="Times New Roman" w:eastAsia="Times New Roman" w:hAnsi="Times New Roman" w:cs="Times New Roman"/>
          <w:color w:val="000000"/>
          <w:sz w:val="24"/>
          <w:szCs w:val="24"/>
        </w:rPr>
        <w:t>videoaulas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/videoconferência e mídias/redes sociais foram essenciais para continuidade das atividades acadêmicas em ambos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campus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1D9349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Tecnologias. Digitais. UFMA. UFT. Professores.</w:t>
      </w:r>
    </w:p>
    <w:p w14:paraId="30A832DC" w14:textId="77777777" w:rsidR="0089648E" w:rsidRDefault="0089648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FB3E582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</w:p>
    <w:p w14:paraId="73787FEB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uso das Tecnologias da Informação e Comun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icação é um fator importante na troca de dados, mensagens e conhecimentos, desde os anos 90, quando surgiu a internet e os computadores de mesa. Ambos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tornaram-se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mais populares em todo o mundo. Após evoluções, surgiram as novas tecnologias e, em seguida,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a introdução das mídias digitais houve um maior acesso ao ambiente virtual, com impactos significativos nos mais diversos campos da sociedade. No âmbito educacional, as tecnologias digitais ganharam força e começaram a fazer parte das rotinas acadêmica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e da prática pedagógica 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variados níveis institucionais. Muitos professores passaram a incorporar ferramentas que podem contribuir para uma aprendizagem mais criativa, dinâmica, colaborativa e diferente dos métodos considerados tradicionais, como a 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 e o pincel, por exemplo.</w:t>
      </w:r>
    </w:p>
    <w:p w14:paraId="70D05673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 universidades, estudantes de diversos cursos acompanham aulas teóricas e práticas ministradas por docentes que, muitas vezes, utilizam-se dos meios tecnológicos digitais para complementar os conteúdos e deixar o ensino mais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interessante e atrativo. Com o surgimento do novo coronavírus em dezembro de 2019 em Wuhan, na China, e que se espalhou pelo o globo, o Ministério da Educação (MEC) suspendeu as aulas presenciais para diminuir o risco de contágio e disseminação no Brasil.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isso, a medida abriu um leque de possibilidades para a educação à distância ou atividades remotas, e fortaleceu o uso das tecnologias digitais nas instituições que ainda não tinham aderido aos recursos como primeira opção de aprendizado.</w:t>
      </w:r>
    </w:p>
    <w:p w14:paraId="03917231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compreen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o cenário nas universidades públicas, a pesquisa tem o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bjetivo geral de verificar como os professores estão usando as novas tecnologias em meio a pandemia da Covid-19. Entre os específicos: identificar quais tecnologias digitais são usadas por eles;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nalisar se houve capacitação para o domínio no ambiente virtual; e avaliar a opinião dos docentes sobre o uso de tais ferramentas. O público compreende os professores do curso de Jornalismo das Universidades Federais do Maranhão, (campus Imperatriz), e Toc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antins (campus Palmas) que responderam um questionário semiestruturado enviado por e-mail ou aplicativo de mensagens. O roteiro foi composto por 10 perguntas, sendo nove de múltipla escolha e uma discursiva.</w:t>
      </w:r>
    </w:p>
    <w:p w14:paraId="7DD67160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Vale ressaltar que a escolha das instituições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 em consideração que os autores deste resumo estão inseridos nas práticas educacionais de cada uma. Um, sendo docente no curso de Jornalismo da UFT e não participante da pesquisa, e a outra, aluna do Programa de Pós-Graduação em Comunicação da UFMA. 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isso, a abordagem foi realizada em cada campus para compreender tais comportamentos e utilização destes recursos.</w:t>
      </w:r>
    </w:p>
    <w:p w14:paraId="29077330" w14:textId="77777777" w:rsidR="0089648E" w:rsidRDefault="0089648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AB369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BASES CONCEITUAIS DAS TECNOLOGIAS DIGITAIS</w:t>
      </w:r>
    </w:p>
    <w:p w14:paraId="6A2174BF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Desde os primórdios, pinturas rupestres, a descoberta do fogo, a invenção da roda, o aperfeiçoa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mento da linguagem até os dispositivos móveis digitais, são considerados tecnologias. A invenção da televisão, nos anos 50, seguida pelos jogos eletrônicos, celulares e demais aparelhos abriram caminhos para a surgimento e popularização do computador e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internet na década de 1990, denominando como Tecnologias 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Informação e Comunicação (TICs), trazendo mudanças importantes no cotidiano das pessoas.</w:t>
      </w:r>
    </w:p>
    <w:p w14:paraId="2088A6AB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Blanco e Silva (1993), destacam que o termo tecnologia vem do grego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technê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que significa arte e</w:t>
      </w:r>
      <w:r>
        <w:rPr>
          <w:rFonts w:ascii="Times New Roman" w:eastAsia="Times New Roman" w:hAnsi="Times New Roman" w:cs="Times New Roman"/>
          <w:sz w:val="24"/>
          <w:szCs w:val="24"/>
        </w:rPr>
        <w:t>/ou ofício, e logos refere-se ao estudo de, designando-se à fixação dos termos técnicos e a aplicação dos conhecimentos científicos para solucionar problemas. Para Suzuki (2011) o surgimento da tecnologia confunde com a própria história do homem, em que el</w:t>
      </w:r>
      <w:r>
        <w:rPr>
          <w:rFonts w:ascii="Times New Roman" w:eastAsia="Times New Roman" w:hAnsi="Times New Roman" w:cs="Times New Roman"/>
          <w:sz w:val="24"/>
          <w:szCs w:val="24"/>
        </w:rPr>
        <w:t>e mesmo criou estratégias para melhorar sua rotina, com invenções e aperfeiçoamento de técnicas diversas. Logo, percebe-se que a tecnologia envolve conhecimento técnico e científico, que resultam em ferramentas, processos e materiais para uso em todos os s</w:t>
      </w:r>
      <w:r>
        <w:rPr>
          <w:rFonts w:ascii="Times New Roman" w:eastAsia="Times New Roman" w:hAnsi="Times New Roman" w:cs="Times New Roman"/>
          <w:sz w:val="24"/>
          <w:szCs w:val="24"/>
        </w:rPr>
        <w:t>etores da sociedade.</w:t>
      </w:r>
    </w:p>
    <w:p w14:paraId="356EBB73" w14:textId="77777777" w:rsidR="0089648E" w:rsidRDefault="00497C0E" w:rsidP="0064178E">
      <w:pPr>
        <w:spacing w:after="0" w:line="240" w:lineRule="auto"/>
        <w:ind w:leftChars="1030" w:left="2268" w:hanging="2"/>
        <w:jc w:val="both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Pode-se exemplificar como vantagens do uso das TICs os deslocamentos simultâneos; o fácil intercâmbio de mensagens; comunicação anódina (superficial) e isenta de restrições que o contato face a face consagrara; o acesso on-line a servi</w:t>
      </w:r>
      <w:r>
        <w:rPr>
          <w:rFonts w:ascii="Times New Roman" w:eastAsia="Times New Roman" w:hAnsi="Times New Roman" w:cs="Times New Roman"/>
          <w:color w:val="231F20"/>
        </w:rPr>
        <w:t xml:space="preserve">ços bancários; educação a distância e a proximidade, que permite os indivíduos interagirem entre si digitalmente, compartilharem experiências comuns em tempo real e formarem a chamada “comunidade virtual”. Todavia, as dificuldades que se apresentam no uso </w:t>
      </w:r>
      <w:r>
        <w:rPr>
          <w:rFonts w:ascii="Times New Roman" w:eastAsia="Times New Roman" w:hAnsi="Times New Roman" w:cs="Times New Roman"/>
          <w:color w:val="231F20"/>
        </w:rPr>
        <w:t>das TICs são a exclusão digital dos que não têm acesso a essas tecnologias, por exemplo na zona rural, por falta de infraestrutura de comunicação; o custo econômico-financeiro e o despreparo das pessoas no uso adequado das fontes eletrônicas. (ECKHARDT; LE</w:t>
      </w:r>
      <w:r>
        <w:rPr>
          <w:rFonts w:ascii="Times New Roman" w:eastAsia="Times New Roman" w:hAnsi="Times New Roman" w:cs="Times New Roman"/>
          <w:color w:val="231F20"/>
        </w:rPr>
        <w:t>MOS, 2007, p. 296)</w:t>
      </w:r>
    </w:p>
    <w:p w14:paraId="7419EFA2" w14:textId="77777777" w:rsidR="0089648E" w:rsidRDefault="00497C0E">
      <w:pPr>
        <w:spacing w:after="0"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B1749" w14:textId="6B64892E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Castells (1999) explica que, de acordo com os historiadores, aconteceram pelo menos duas revoluções industriais, em que a primeira teve início no final do século XVIII e a segunda, cem anos depois, quando houve o desenvolvimento da ele</w:t>
      </w:r>
      <w:r>
        <w:rPr>
          <w:rFonts w:ascii="Times New Roman" w:eastAsia="Times New Roman" w:hAnsi="Times New Roman" w:cs="Times New Roman"/>
          <w:sz w:val="24"/>
          <w:szCs w:val="24"/>
        </w:rPr>
        <w:t>tricidade e do motor de combustão interna. Épocas marcadas por intensa e passageiras transformações tecnológicas. As TICs surgiram para contribuir na ampliação do exercício da cidadania e aumentar a interação entre cidadão e governo por meio de canais de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iálogo e acessos mais rápidos e menos burocráticos, conforme Pereira e Silva (2020). Os autores afirmam que as TICs foram se consolidando como uma estratégia adotada pelas administrações locais para a diversificar a economia, e, voltada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para geração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em</w:t>
      </w:r>
      <w:r>
        <w:rPr>
          <w:rFonts w:ascii="Times New Roman" w:eastAsia="Times New Roman" w:hAnsi="Times New Roman" w:cs="Times New Roman"/>
          <w:sz w:val="24"/>
          <w:szCs w:val="24"/>
        </w:rPr>
        <w:t>prego. De acordo com Pastore e Cerqueira (2006), após esse período, os avanços na informática, nos modelos de geração de energia, nas telecomunicações, bem como a manipulação genética e robotização da produção, o termo passa ser conhecido como Novas Tecnol</w:t>
      </w:r>
      <w:r>
        <w:rPr>
          <w:rFonts w:ascii="Times New Roman" w:eastAsia="Times New Roman" w:hAnsi="Times New Roman" w:cs="Times New Roman"/>
          <w:sz w:val="24"/>
          <w:szCs w:val="24"/>
        </w:rPr>
        <w:t>ogias da Informação e Comunicação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No entanto,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Sacristán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(2002, p. 66) considera que: </w:t>
      </w:r>
    </w:p>
    <w:p w14:paraId="1E8901B2" w14:textId="77777777" w:rsidR="0089648E" w:rsidRDefault="00497C0E" w:rsidP="0064178E">
      <w:pPr>
        <w:spacing w:after="0" w:line="240" w:lineRule="auto"/>
        <w:ind w:leftChars="1030" w:left="2268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[...] à medida que não se confie apenas na tecnologia, cujos usos o mercado tecnológico inventa para nós, seus consumidores. O </w:t>
      </w:r>
      <w:r>
        <w:rPr>
          <w:rFonts w:ascii="Times New Roman" w:eastAsia="Times New Roman" w:hAnsi="Times New Roman" w:cs="Times New Roman"/>
        </w:rPr>
        <w:lastRenderedPageBreak/>
        <w:t>importante é o papel dos in</w:t>
      </w:r>
      <w:r>
        <w:rPr>
          <w:rFonts w:ascii="Times New Roman" w:eastAsia="Times New Roman" w:hAnsi="Times New Roman" w:cs="Times New Roman"/>
        </w:rPr>
        <w:t>divíduos como emissores e receptores, assim como a qualidade do conteúdo. [...] As novas tecnologias não só difundem culturas de massas e fontes de emissão de conhecimento sobre as quais o indivíduo tem pouco controle. Não podemos esquecer que seus efeitos</w:t>
      </w:r>
      <w:r>
        <w:rPr>
          <w:rFonts w:ascii="Times New Roman" w:eastAsia="Times New Roman" w:hAnsi="Times New Roman" w:cs="Times New Roman"/>
        </w:rPr>
        <w:t xml:space="preserve"> são produzidos em indivíduos singulares a quem podemos capacitar. Não devemos cair no encantamento ingênuo de dar por certo que o progresso técnico traz necessariamente o humano e o social (compreendido o da cultura e o da educação), como difunde a ideolo</w:t>
      </w:r>
      <w:r>
        <w:rPr>
          <w:rFonts w:ascii="Times New Roman" w:eastAsia="Times New Roman" w:hAnsi="Times New Roman" w:cs="Times New Roman"/>
        </w:rPr>
        <w:t>gia que vende a tecnologia.</w:t>
      </w:r>
    </w:p>
    <w:p w14:paraId="0912C9A8" w14:textId="77777777" w:rsidR="0089648E" w:rsidRDefault="0089648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0CEEA27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Duran (2008), é importante reconhecer o uso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mas, não se pode  compreender o acesso a elas como sinônimo de desenvolvimento social ou cognitivo, pois é a forma como os sujeitos se apropriam dessas tecnologias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define a proporção que elas podem contribuir ou não para o aprendizado e o exercício da cidadania. Com a integração das mídias e redes sociais, o nome foi atualizado para Tecnologias Digitais de Informação e Comunicação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que engloba a conexão on-l</w:t>
      </w:r>
      <w:r>
        <w:rPr>
          <w:rFonts w:ascii="Times New Roman" w:eastAsia="Times New Roman" w:hAnsi="Times New Roman" w:cs="Times New Roman"/>
          <w:sz w:val="24"/>
          <w:szCs w:val="24"/>
        </w:rPr>
        <w:t>ine instantânea, ferramentas de buscas avançadas, a troca rápida de dados, uso de softwares, entre outras interatividades e inovações. Segundo Mill (2013), podem ser chamadas de tecnologias digitais e analógicas, novas tecnologias, informática educativa,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mbientes virtuais e tecnologias educativas ou educacionais. </w:t>
      </w:r>
    </w:p>
    <w:p w14:paraId="0CF9B5E2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Castells (1999), essa revolução tecnológica é caracterizada pela aplicação dos conhecimentos e informação para a gerar novos conhecimentos baseados na colaboração entre as pessoas. De acordo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Perrenoud (2006) as tecnologias são aplicadas no mundo da informação e da comunicação, gerando influência e transformação na maneira como as pessoas pensam, agem e decidem. Hoje pode se entender que não existem mais limites para as relações pessoais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profissionais, pois tudo se tornou possível ao som de um clique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acessibilidade aos mais diferentes processos e ferramentas de comunicação na sociedade (CANABARRO; BASSO, 2013, p. 3). Então, as tecnologias digitais redesenharam o modo de contato na so</w:t>
      </w:r>
      <w:r>
        <w:rPr>
          <w:rFonts w:ascii="Times New Roman" w:eastAsia="Times New Roman" w:hAnsi="Times New Roman" w:cs="Times New Roman"/>
          <w:sz w:val="24"/>
          <w:szCs w:val="24"/>
        </w:rPr>
        <w:t>ciedade, ligando o mundo real ao virtual e integrando diferentes maneiras de se comunicar.</w:t>
      </w:r>
    </w:p>
    <w:p w14:paraId="62C35F2A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adesão no ensino superior</w:t>
      </w:r>
    </w:p>
    <w:p w14:paraId="7C26B3B5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muitos anos, o professor tinha como papel principal transmitir o conhecimento de forma linear, seguindo uma referência de detençã</w:t>
      </w:r>
      <w:r>
        <w:rPr>
          <w:rFonts w:ascii="Times New Roman" w:eastAsia="Times New Roman" w:hAnsi="Times New Roman" w:cs="Times New Roman"/>
          <w:sz w:val="24"/>
          <w:szCs w:val="24"/>
        </w:rPr>
        <w:t>o dos ensinamentos. Com a ascensão da internet e das tecnologias, os alunos passaram a ter mais acesso aos conteúdos disponíveis e ilimitados pela rede global de computadores.</w:t>
      </w:r>
    </w:p>
    <w:p w14:paraId="73C924B5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só nas escolas, mas, nas universidades públicas e privadas as aulas são enri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quecidas por diferentes recursos visuais que fortalecem o aprendizado nos mais variados níveis educacionais. Com isso, as novas ferramentas utilizadas possibilitaram,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em um universo virtual, o ciberespaço, a troca de informações em tempo real pelas redes s</w:t>
      </w:r>
      <w:r>
        <w:rPr>
          <w:rFonts w:ascii="Times New Roman" w:eastAsia="Times New Roman" w:hAnsi="Times New Roman" w:cs="Times New Roman"/>
          <w:sz w:val="24"/>
          <w:szCs w:val="24"/>
        </w:rPr>
        <w:t>ociais, e-mails, aplicativos de mensagens; participação de conferências e reuniões on-line; debates e esclarecimento de dúvidas pelos fóruns ou chats de grupos; disponibilização de materiais nas plataformas institucionais, entre outras manifestações digita</w:t>
      </w:r>
      <w:r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06921AA2" w14:textId="77777777" w:rsidR="0089648E" w:rsidRDefault="00497C0E" w:rsidP="0064178E">
      <w:pPr>
        <w:spacing w:after="0" w:line="240" w:lineRule="auto"/>
        <w:ind w:leftChars="1030" w:left="2268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chegada das tecnologias móveis à sala de aula traz tensões, novas possibilidades e grandes desafios. As próprias palavras “tecnologias móveis” mostram a contradição de utilizá-la em um espaço fixo como a sala de aula”. As tecnologias móveis estão cad</w:t>
      </w:r>
      <w:r>
        <w:rPr>
          <w:rFonts w:ascii="Times New Roman" w:eastAsia="Times New Roman" w:hAnsi="Times New Roman" w:cs="Times New Roman"/>
        </w:rPr>
        <w:t>a vez mais disponíveis nas mãos dos alunos e dos professores, o que possibilita utilizar esses recursos para fins pedagógicos (MORAN, 2014, p.464)</w:t>
      </w:r>
    </w:p>
    <w:p w14:paraId="2E147B77" w14:textId="77777777" w:rsidR="0089648E" w:rsidRDefault="00497C0E">
      <w:pPr>
        <w:spacing w:after="0"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D14A10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conduzir tais técnicas dentro e fora das salas de aulas, os docentes são peças fundamentais. “Competen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é o professor que sentindo-se politicamente comprometido com seu aluno, conhece e utiliza adequadamente os recursos capazes de lhes propiciar uma aprendizagem real e plena de sentido” (MOYSÈS,1994, p. 15). Sendo assim, o professor utiliza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</w:rPr>
        <w:t>auxiliar na formação dos alunos, explorando a capacidade de inovação e dinamismo para que o conhecimento seja duradouro e significativo. Muitos “se apropriam de tecnologias para facilitar suas atividades cotidianas. Isso tudo tem acontecido num período rel</w:t>
      </w:r>
      <w:r>
        <w:rPr>
          <w:rFonts w:ascii="Times New Roman" w:eastAsia="Times New Roman" w:hAnsi="Times New Roman" w:cs="Times New Roman"/>
          <w:sz w:val="24"/>
          <w:szCs w:val="24"/>
        </w:rPr>
        <w:t>ativamente curto e se tornou rotineiro e despercebido na vida das pessoas” (BARTON; LEE, 2015, p. 12).</w:t>
      </w:r>
    </w:p>
    <w:p w14:paraId="12132CBE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Levando em consideração as palavras de Mercado (1999), a educação não se mantém somente na instrução que o professor passa ao aluno, mas na construção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conhecimento por esse estudante e no desenvolvimento de novas competências como a capacidade de inovar, criar a partir do desconhecido, adaptar-se, obter autonomia e ênfase na comunicação.</w:t>
      </w:r>
    </w:p>
    <w:p w14:paraId="04A84234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Piaget (2000) enfatiza que é preciso de reflexões profundas para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pensar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docência, pois é fruto de um processo complexo que supõe uma compreensão da realidade, da sociedade, da educação, da universidade, da escola, do aluno, do ensino, da aprendizagem, do saber, levando assim a um repensar e recriar do fazer educação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diante de suas múltiplas relações no conjunto organizacional na compreensão dialógica do fazer docente.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Sassaki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(1997) reforça que as novas tecnologias nas salas de aula facilitam o processo de ensino-aprendizagem, em que as informações se tornam mais ac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essíveis e possibilitam ações diversificadas do professor, ampliando sua didática e gerando uma evolução estratégica na construção do conhecimento e independência do aluno. Trujillo (2016, p.66) salienta que: </w:t>
      </w:r>
    </w:p>
    <w:p w14:paraId="46007BD0" w14:textId="77777777" w:rsidR="0089648E" w:rsidRDefault="00497C0E" w:rsidP="0064178E">
      <w:pPr>
        <w:spacing w:after="0" w:line="240" w:lineRule="auto"/>
        <w:ind w:leftChars="1030" w:left="2268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 utilização de tecnologias digitais no ensino</w:t>
      </w:r>
      <w:r>
        <w:rPr>
          <w:rFonts w:ascii="Times New Roman" w:eastAsia="Times New Roman" w:hAnsi="Times New Roman" w:cs="Times New Roman"/>
        </w:rPr>
        <w:t xml:space="preserve"> equivale, proporcionalmente, ao que representou na escrita a mudança da pedra para o couro, e deste para o papel. Houve uma mudança do suporte e este trouxe elementos facilitadores de visualização, armazenamento e até compreensão da realidade.</w:t>
      </w:r>
    </w:p>
    <w:p w14:paraId="1B9AB9E0" w14:textId="77777777" w:rsidR="0089648E" w:rsidRDefault="0089648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9D97BA7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utilização de tecnologias digitais no ensino equivale, proporcionalmente, ao que representou na escrita a mudança da pedra para o couro, e deste para o papel. Houve uma mudança do suporte e este trouxe elementos facilitadores de visualização, armazenamen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e até compreensão da realidade. No entanto,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 destaca que ainda predominam as práticas tradicionais nas salas de aula do ensino superior, com aulas baseadas na exposição oral do professor. Para a autora, a cultura digital passa longe dos cur</w:t>
      </w:r>
      <w:r>
        <w:rPr>
          <w:rFonts w:ascii="Times New Roman" w:eastAsia="Times New Roman" w:hAnsi="Times New Roman" w:cs="Times New Roman"/>
          <w:sz w:val="24"/>
          <w:szCs w:val="24"/>
        </w:rPr>
        <w:t>sos e das aulas presenciais e a distância nos cursos universitários. O curioso, segundo ele, é que “essas mesmas tecnologias são utilizadas plenamente pelos professores e pesquisadores fora das salas de aula e em suas pesquisas” (KENSKI, 2013, p. 70).</w:t>
      </w:r>
    </w:p>
    <w:p w14:paraId="47696EC3" w14:textId="77777777" w:rsidR="0089648E" w:rsidRDefault="00497C0E" w:rsidP="0064178E">
      <w:pPr>
        <w:spacing w:after="24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reforçar o aprendizado, é importante que os professores conheçam e façam o uso de recursos visuais, auditivos, audiovisuais, para atender à necessidade dos alunos e facilitar a aprendizagem. Além disso, estão disponíveis vários programas e softwares em co</w:t>
      </w:r>
      <w:r>
        <w:rPr>
          <w:rFonts w:ascii="Times New Roman" w:eastAsia="Times New Roman" w:hAnsi="Times New Roman" w:cs="Times New Roman"/>
          <w:sz w:val="24"/>
          <w:szCs w:val="24"/>
        </w:rPr>
        <w:t>mputadores que auxiliam nesse processo e ferramentas que possibilitam chat, vídeo aula, fórum e redes sociais que potencializam o acesso às informações e aos conteúdos ministrados (SAMPAIO; LEITE, 2011). Logo, essas tecnologias digitais podem ser utilizada</w:t>
      </w:r>
      <w:r>
        <w:rPr>
          <w:rFonts w:ascii="Times New Roman" w:eastAsia="Times New Roman" w:hAnsi="Times New Roman" w:cs="Times New Roman"/>
          <w:sz w:val="24"/>
          <w:szCs w:val="24"/>
        </w:rPr>
        <w:t>s no ensino superior, seja de iniciativa e interesse do docente ou por parte dos estudantes, e ofertadas com base em planejamentos, adaptação de cenários sociais e na evolução da sociedade.</w:t>
      </w:r>
    </w:p>
    <w:p w14:paraId="32CB186A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PROCEDIMENTOS METODOLÓGICOS</w:t>
      </w:r>
    </w:p>
    <w:p w14:paraId="347471BA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tecnologias digitais utilizadas no campo educacional, em especial, no ensino superior, trouxeram inúmeras transformações. Para compreender tal cenário no curso de Jornalismo, das Universidades Federais do Maranhão e Tocantins, foi aplicado um questionár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 semiestruturado, durante os dias 26 a 29 de maio de 2020, composto por dez perguntas, sendo nove, de múltipla escolha e, uma discursiva, para avaliação do docente acerca do uso das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realização das atividades acadêmicas antes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pandemia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 questões foram organizadas pela ferramenta Google Formulários e enviado aos colaboradores por e-mail </w:t>
      </w:r>
      <w:r>
        <w:rPr>
          <w:rFonts w:ascii="Times New Roman" w:eastAsia="Times New Roman" w:hAnsi="Times New Roman" w:cs="Times New Roman"/>
          <w:sz w:val="24"/>
          <w:szCs w:val="24"/>
        </w:rPr>
        <w:t>ou aplicativo de mensagens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723BB087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responder o que será explorado é necessário conhecimento sobre o tema, com isso, algumas ferramentas metodológicas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ão essenciais para traçar caminhos, detectar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erros e auxiliar nas discussões</w:t>
      </w:r>
      <w:r>
        <w:rPr>
          <w:rFonts w:ascii="Times New Roman" w:eastAsia="Times New Roman" w:hAnsi="Times New Roman" w:cs="Times New Roman"/>
          <w:sz w:val="24"/>
          <w:szCs w:val="24"/>
        </w:rPr>
        <w:t>, que na visão de Fachin (2006, p.29) “método, em pesquisas, seja qual for o tipo, é a escolha de procedimentos sistemáticos para descrição e explicação de um estudo”. Fachin (2006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ainda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observa a organização dos métodos como uma forma de instruir o pesquisador, uma vez que o conhecimento será indispensável para planejar, formular e interpretar os resultados</w:t>
      </w:r>
      <w:r>
        <w:rPr>
          <w:rFonts w:ascii="Times New Roman" w:eastAsia="Times New Roman" w:hAnsi="Times New Roman" w:cs="Times New Roman"/>
          <w:sz w:val="24"/>
          <w:szCs w:val="24"/>
        </w:rPr>
        <w:t>, tendo a percepção de que no processo de construção da pesquisa, outros mé</w:t>
      </w:r>
      <w:r>
        <w:rPr>
          <w:rFonts w:ascii="Times New Roman" w:eastAsia="Times New Roman" w:hAnsi="Times New Roman" w:cs="Times New Roman"/>
          <w:sz w:val="24"/>
          <w:szCs w:val="24"/>
        </w:rPr>
        <w:t>todos podem surgir para complementar aqueles previamente estabelecidos. Fala-se muito de métodos e técnicas para mensurar e compreender os dados coletados, mas uma importante observação deve ser feita para diferenciar tais termos, uma vez que mesmo sendo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plicados de forma conjunta, eles exercem funções distintas na pesquisa científica, onde um é a estratégia - no caso deste artigo foi a pesquisa documental e bibliográfica - e o outro, a tática - técnica quantitativa e qualitativa. </w:t>
      </w:r>
    </w:p>
    <w:p w14:paraId="76F02194" w14:textId="77777777" w:rsidR="0089648E" w:rsidRDefault="00497C0E" w:rsidP="0064178E">
      <w:pPr>
        <w:spacing w:after="0" w:line="240" w:lineRule="auto"/>
        <w:ind w:leftChars="1030" w:left="2268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método é um plano de a</w:t>
      </w:r>
      <w:r>
        <w:rPr>
          <w:rFonts w:ascii="Times New Roman" w:eastAsia="Times New Roman" w:hAnsi="Times New Roman" w:cs="Times New Roman"/>
        </w:rPr>
        <w:t>ção, formado por um conjunto de etapas ordenadamente dispostas, destinadas a realizar e a antecipar uma atividade na busca de uma realidade; já a técnica está ligada ao modo de realizar a atividade, fazendo-a transcorrer de forma mais hábil, mais perfeita.</w:t>
      </w:r>
      <w:r>
        <w:rPr>
          <w:rFonts w:ascii="Times New Roman" w:eastAsia="Times New Roman" w:hAnsi="Times New Roman" w:cs="Times New Roman"/>
        </w:rPr>
        <w:t xml:space="preserve"> O método está relacionado à estratégia, e a técnica, a tática (FACHIN, 2006, p. 31).</w:t>
      </w:r>
    </w:p>
    <w:p w14:paraId="75451263" w14:textId="77777777" w:rsidR="0089648E" w:rsidRDefault="0089648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F6842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Sendo o primeiro passo de todo trabalho científico, a pesquisa bibliográfica foi utilizada como uma das estratégias neste artigo, ainda mais por ela permitir o uso de ou</w:t>
      </w:r>
      <w:r>
        <w:rPr>
          <w:rFonts w:ascii="Times New Roman" w:eastAsia="Times New Roman" w:hAnsi="Times New Roman" w:cs="Times New Roman"/>
          <w:sz w:val="24"/>
          <w:szCs w:val="24"/>
        </w:rPr>
        <w:t>tras modalidades de análise, como a de campo, laboratorial e documental (FACHIN, 2006). Ela é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apaz de fornecer não somente dados atuais para somar com o material, mas um levantamento dos principais trabalhos acadêmicos e livros já produzidos sobre o assun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to, já que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 finalidade é colocar o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dor em contato direto com tudo o que foi escrito, dito ou filmado [...]” (MARCONI; LAKATOS, 2010, p. 166). </w:t>
      </w:r>
    </w:p>
    <w:p w14:paraId="16AF9567" w14:textId="77777777" w:rsidR="0089648E" w:rsidRDefault="00497C0E" w:rsidP="0064178E">
      <w:pPr>
        <w:spacing w:after="0" w:line="360" w:lineRule="auto"/>
        <w:ind w:leftChars="1030" w:left="2268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pesquisa bibliográfica, para os pesquisadores, é um dos problemas mais sérios a serem equacionados.</w:t>
      </w:r>
      <w:r>
        <w:rPr>
          <w:rFonts w:ascii="Times New Roman" w:eastAsia="Times New Roman" w:hAnsi="Times New Roman" w:cs="Times New Roman"/>
        </w:rPr>
        <w:t xml:space="preserve"> Em função da disponibilidade dos bancos de dados bibliográficos e da profusão de artigos científicos, torna-se um grande impasse a escolha dos artigos mais adequados na construção da argumentação teórica fundamental às pesquisas e textos acadêmicos. Dessa</w:t>
      </w:r>
      <w:r>
        <w:rPr>
          <w:rFonts w:ascii="Times New Roman" w:eastAsia="Times New Roman" w:hAnsi="Times New Roman" w:cs="Times New Roman"/>
        </w:rPr>
        <w:t xml:space="preserve"> forma, cabe ao pesquisador estabelecer uma estratégia de pesquisa bibliográfica que tanto facilite a identificação dos principais trabalhos em meio a uma quantidade grande de possibilidades que permeiam a produção científica mundial, como garanta a capaci</w:t>
      </w:r>
      <w:r>
        <w:rPr>
          <w:rFonts w:ascii="Times New Roman" w:eastAsia="Times New Roman" w:hAnsi="Times New Roman" w:cs="Times New Roman"/>
        </w:rPr>
        <w:t>dade de estabelecer as fronteiras do conhecimento advindo dos achados científicos (TREINTA et al, 2014, p. 508).</w:t>
      </w:r>
    </w:p>
    <w:p w14:paraId="690359C5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4097D41A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isso, não significa que essa modalidade será eternamente uma repetição de tudo o que já foi dito sobre a temática, mas sim, uma nova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de propor abordagens e conclusões sobre o que se investiga, que nas reflexões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(1971, p. 32), a conciliação das literaturas oferecem “meios para definir, resolver, não somente problemas já conhecidos, como também explorar novas áreas onde os prob</w:t>
      </w:r>
      <w:r>
        <w:rPr>
          <w:rFonts w:ascii="Times New Roman" w:eastAsia="Times New Roman" w:hAnsi="Times New Roman" w:cs="Times New Roman"/>
          <w:sz w:val="24"/>
          <w:szCs w:val="24"/>
        </w:rPr>
        <w:t>lemas não se cristalizaram suficientemente”. O levantamento bibliográfico além de propor toda esta reflexão ao pesquisador e ao objeto investigado, ela também se torna fonte para as demais pesquisas, podendo elas serem primárias (bibliografia básica do ass</w:t>
      </w:r>
      <w:r>
        <w:rPr>
          <w:rFonts w:ascii="Times New Roman" w:eastAsia="Times New Roman" w:hAnsi="Times New Roman" w:cs="Times New Roman"/>
          <w:sz w:val="24"/>
          <w:szCs w:val="24"/>
        </w:rPr>
        <w:t>unto) e secundárias (bibliografia complementar), onde Fachin (2006, p. 121), ainda reforça que este tipo de estudo “tanto pode conduzir um estudo em si mesmo, quanto constituir-se em uma pesquisa preparatória para outro tipo de pesquisa”.</w:t>
      </w:r>
    </w:p>
    <w:p w14:paraId="1BB0B4C0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pesquisa docum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ental, por sua vez, se difere da bibliográfica por usar fontes diversificadas que podem ser encontradas em documentos oficiais, jornais, e de todo material que não recebeu um tratamento analítico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numa resumida definição, “a característica da pesquisa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documental é que a fonte está restrita a documentos” e as coletas podem ser “feitas no momento em que o fato ou fenômeno ocorre, ou depois” (MARCONI; LAKATOS, 2010, p. 157), tendo uma de suas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vantagens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“não exigir contato com os sujeitos da pesquisa” (GIL,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2002, p.46). No ca</w:t>
      </w:r>
      <w:r>
        <w:rPr>
          <w:rFonts w:ascii="Times New Roman" w:eastAsia="Times New Roman" w:hAnsi="Times New Roman" w:cs="Times New Roman"/>
          <w:sz w:val="24"/>
          <w:szCs w:val="24"/>
        </w:rPr>
        <w:t>so em questão, utilizou-se de arquivos nos sites das Universidades Federais do Maranhão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Tocantins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compreender os históricos de fundação, normas, quadros de professores e dentre outros.</w:t>
      </w:r>
    </w:p>
    <w:p w14:paraId="316E959C" w14:textId="6AC0EE01" w:rsidR="006417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Analisar os dados é fundamental para comp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reensão da pesquisa, uma vez que sua importância está nas respostas à investigação. E, para desvendar o cenário docente acerca do uso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 instituições de ensino citadas em tempos de pandemia, formulou-se um questionário semiestruturado com dez pe</w:t>
      </w:r>
      <w:r>
        <w:rPr>
          <w:rFonts w:ascii="Times New Roman" w:eastAsia="Times New Roman" w:hAnsi="Times New Roman" w:cs="Times New Roman"/>
          <w:sz w:val="24"/>
          <w:szCs w:val="24"/>
        </w:rPr>
        <w:t>rguntas, sendo uma qualitativa, para que os professores descrevessem suas percepções acerca das tecnologias digitais. O roteiro foi composto por questões para definir o sexo dos entrevistados, o vínculo institucional, o nível de formação, a faixa etária,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tempo de atuação na docência, as tecnologias digitais usadas antes e durante a quarentena. Para compreender o cenário atual, foi perguntado ainda se houve dificuldade com a aplicação dos recursos, se a universidade promoveu suporte ou capacitação nesse 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ríodo e finalizado com uma avaliação das ferramentas no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exercício da profissão. Como já mencionado, as perguntas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foram enviadas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aplicativo de mensagens, e isto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consiste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uma de suas vantagens, além de que o fato dele ser “preenchido pelo próp</w:t>
      </w:r>
      <w:r>
        <w:rPr>
          <w:rFonts w:ascii="Times New Roman" w:eastAsia="Times New Roman" w:hAnsi="Times New Roman" w:cs="Times New Roman"/>
          <w:sz w:val="24"/>
          <w:szCs w:val="24"/>
        </w:rPr>
        <w:t>rio pesquisado, sem a presença do pesquisador, garante o anonimato muitas vezes necessário. O anonimato contribui para que o pesquisado se sinta mais seguro e, consequentemente, favorece respostas mais verdadeiras” (FACHIN, 2006, p. 162).</w:t>
      </w:r>
    </w:p>
    <w:p w14:paraId="22E58767" w14:textId="4466A902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Então, depois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aplicado, passa-se para as fases que Trujillo (1974) classifica em dois momentos: i) análise, quando a proposta é mostrar as relações entre o fenômeno e outros fatores, e ainda interpretar, explicar e especificar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corpus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pesquisa;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interpretação dos resultados, que consiste na parte mais intelectual da investigação - neste momento, o investigador dará um significado mais amplos as respostas dos investigados, inferindo-os com outros conhecimentos (MARCONI; LAKATOS,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10). Esta seleção e compreensão, que compiladas com as técnicas quantitativa e qualitativas na perspectiva de Bauer,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Gaskell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(2002) foram essenciais para o processo, já que uma lida com números e estatísticas (quanti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sz w:val="24"/>
          <w:szCs w:val="24"/>
        </w:rPr>
        <w:t>), ainda mais que este ar</w:t>
      </w:r>
      <w:r>
        <w:rPr>
          <w:rFonts w:ascii="Times New Roman" w:eastAsia="Times New Roman" w:hAnsi="Times New Roman" w:cs="Times New Roman"/>
          <w:sz w:val="24"/>
          <w:szCs w:val="24"/>
        </w:rPr>
        <w:t>tigo se baseia em um estudo comparativo, e em contrapartida, a outra evita número e trabalha com as interpretações sociais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soft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884CB0" w14:textId="77777777" w:rsidR="0089648E" w:rsidRDefault="0089648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2E6B6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CENÁRIO DIGITAL NA UFMA E UTF </w:t>
      </w:r>
    </w:p>
    <w:p w14:paraId="3689A7BD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Maranhão</w:t>
      </w:r>
    </w:p>
    <w:p w14:paraId="59F4CC69" w14:textId="330697A5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54 anos de histórias, mudanças e formações, a Universidade Federal do Maranhão celebra sua fundação. Na cidade de Imperatriz, a instituição chegou por volta de 1980, com o funcionamento dos cursos de Direito e Pedagogia, que se instauraram por meio da </w:t>
      </w:r>
      <w:r>
        <w:rPr>
          <w:rFonts w:ascii="Times New Roman" w:eastAsia="Times New Roman" w:hAnsi="Times New Roman" w:cs="Times New Roman"/>
          <w:sz w:val="24"/>
          <w:szCs w:val="24"/>
        </w:rPr>
        <w:t>política de expansão e interiorização, e 13 anos depois, o campus Centro/Imperatriz passou a ter Ciências Contábeis em sua grade. Já em 2005, mediante a resolução n°83/2005 do Conselho Superior Universitário (CONSUN), o campus elevou-se para Centro de Ciên</w:t>
      </w:r>
      <w:r>
        <w:rPr>
          <w:rFonts w:ascii="Times New Roman" w:eastAsia="Times New Roman" w:hAnsi="Times New Roman" w:cs="Times New Roman"/>
          <w:sz w:val="24"/>
          <w:szCs w:val="24"/>
        </w:rPr>
        <w:t>cias Sociais, Saúde e Tecnologia (CCSST). No ano seguinte, recebeu mais três cursos: Comunicação Social - Jornalismo; Enfermagem e Engenharia de Alimentos, desde então, o Centro se expandiu e tem se consolidado cada vez mais na região. Além dos mencionados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encontram-se os cursos de Ciências Humanas -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Sociologias, Ciências Naturais - Biologia, Medicina, e os Programas de Pós-Graduação em Ciências dos Materiais, de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2013,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Comunicação, com a primeira turma em 2019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F52AE50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curso de Jornalismo está na coord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enação do Prof. Dr. Marco Antônio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Gehlen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tendo em seu quadro 19 docentes ativos, mas somente 9 (47,37%) responderam ao questionário. </w:t>
      </w:r>
      <w:r>
        <w:rPr>
          <w:rFonts w:ascii="Times New Roman" w:eastAsia="Times New Roman" w:hAnsi="Times New Roman" w:cs="Times New Roman"/>
          <w:sz w:val="24"/>
          <w:szCs w:val="24"/>
        </w:rPr>
        <w:t>Na qual pode-se identificar o gênero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66,67</w:t>
      </w:r>
      <w:r>
        <w:rPr>
          <w:rFonts w:ascii="Times New Roman" w:eastAsia="Times New Roman" w:hAnsi="Times New Roman" w:cs="Times New Roman"/>
          <w:sz w:val="24"/>
          <w:szCs w:val="24"/>
        </w:rPr>
        <w:t>%) são feminino e 3 (</w:t>
      </w:r>
      <w:r>
        <w:rPr>
          <w:rFonts w:ascii="Times New Roman" w:eastAsia="Times New Roman" w:hAnsi="Times New Roman" w:cs="Times New Roman"/>
          <w:sz w:val="24"/>
          <w:szCs w:val="24"/>
        </w:rPr>
        <w:t>33,33</w:t>
      </w:r>
      <w:r>
        <w:rPr>
          <w:rFonts w:ascii="Times New Roman" w:eastAsia="Times New Roman" w:hAnsi="Times New Roman" w:cs="Times New Roman"/>
          <w:sz w:val="24"/>
          <w:szCs w:val="24"/>
        </w:rPr>
        <w:t>%) masculino, entre</w:t>
      </w:r>
      <w:r>
        <w:rPr>
          <w:rFonts w:ascii="Times New Roman" w:eastAsia="Times New Roman" w:hAnsi="Times New Roman" w:cs="Times New Roman"/>
          <w:sz w:val="24"/>
          <w:szCs w:val="24"/>
        </w:rPr>
        <w:t>, em sua maioria, com idade d</w:t>
      </w:r>
      <w:r>
        <w:rPr>
          <w:rFonts w:ascii="Times New Roman" w:eastAsia="Times New Roman" w:hAnsi="Times New Roman" w:cs="Times New Roman"/>
          <w:sz w:val="24"/>
          <w:szCs w:val="24"/>
        </w:rPr>
        <w:t>e 25 a 44 anos,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corresponden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orado (5; 55,5%) e </w:t>
      </w:r>
      <w:r>
        <w:rPr>
          <w:rFonts w:ascii="Times New Roman" w:eastAsia="Times New Roman" w:hAnsi="Times New Roman" w:cs="Times New Roman"/>
          <w:sz w:val="24"/>
          <w:szCs w:val="24"/>
        </w:rPr>
        <w:t>pós-doutorado 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; 44,44%)</w:t>
      </w:r>
      <w:r>
        <w:rPr>
          <w:rFonts w:ascii="Times New Roman" w:eastAsia="Times New Roman" w:hAnsi="Times New Roman" w:cs="Times New Roman"/>
          <w:sz w:val="24"/>
          <w:szCs w:val="24"/>
        </w:rPr>
        <w:t>. O mesmo grupo de professores possuem atuação na docência em até 5 anos (22,22%), de 11 a 19 anos (66,67%) e 6 a 10 anos (11,11%). Quando questionados quais tecn</w:t>
      </w:r>
      <w:r>
        <w:rPr>
          <w:rFonts w:ascii="Times New Roman" w:eastAsia="Times New Roman" w:hAnsi="Times New Roman" w:cs="Times New Roman"/>
          <w:sz w:val="24"/>
          <w:szCs w:val="24"/>
        </w:rPr>
        <w:t>ologias digitais eram utilizadas antes da pandemia, notou-se a predominância das mídias/redes sociais, atreladas às videoaulas/videoconferências e AVA/Moodle. Agora, durante o período de isolamento, a maioria dos professores de Jornalismo (55,55%), fizeram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uso de apenas duas ferramentas: videoaulas/videoconferência e mídias/redes sociais. </w:t>
      </w:r>
    </w:p>
    <w:p w14:paraId="41F6088E" w14:textId="77777777" w:rsidR="0089648E" w:rsidRDefault="0089648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31318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Tabela 1: Tecnologias digitais antes e durante a pandemia na UFMA/Imperatriz </w:t>
      </w:r>
    </w:p>
    <w:tbl>
      <w:tblPr>
        <w:tblStyle w:val="a"/>
        <w:tblW w:w="801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540"/>
        <w:gridCol w:w="855"/>
        <w:gridCol w:w="2535"/>
        <w:gridCol w:w="510"/>
        <w:gridCol w:w="975"/>
      </w:tblGrid>
      <w:tr w:rsidR="0089648E" w14:paraId="0230682B" w14:textId="77777777">
        <w:trPr>
          <w:trHeight w:val="405"/>
          <w:jc w:val="center"/>
        </w:trPr>
        <w:tc>
          <w:tcPr>
            <w:tcW w:w="259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03B95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Tecnologias digitais (antes)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AC85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154FD09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47C2208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Tecnologias digitais (durante)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245A0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8A5F839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9648E" w14:paraId="3F20F7DF" w14:textId="77777777">
        <w:trPr>
          <w:trHeight w:val="645"/>
          <w:jc w:val="center"/>
        </w:trPr>
        <w:tc>
          <w:tcPr>
            <w:tcW w:w="259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8FBB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AVA/Moodle, Mídias/Redes Sociais</w:t>
            </w:r>
          </w:p>
        </w:tc>
        <w:tc>
          <w:tcPr>
            <w:tcW w:w="540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D3089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BEA2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22,22%</w:t>
            </w:r>
          </w:p>
        </w:tc>
        <w:tc>
          <w:tcPr>
            <w:tcW w:w="253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3F4EC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AVA/Moodle, Mídias/Redes Sociais, Outros</w:t>
            </w:r>
          </w:p>
        </w:tc>
        <w:tc>
          <w:tcPr>
            <w:tcW w:w="510" w:type="dxa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7F8A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AB5E5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11,11%</w:t>
            </w:r>
          </w:p>
        </w:tc>
      </w:tr>
      <w:tr w:rsidR="0089648E" w14:paraId="56C79348" w14:textId="77777777">
        <w:trPr>
          <w:trHeight w:val="825"/>
          <w:jc w:val="center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1EC24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AVA/Moodle,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D21E2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997DE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11,11%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40567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AVA/Moodle,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00D8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37DA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11,11%</w:t>
            </w:r>
          </w:p>
        </w:tc>
      </w:tr>
      <w:tr w:rsidR="0089648E" w14:paraId="45228E28" w14:textId="77777777">
        <w:trPr>
          <w:trHeight w:val="420"/>
          <w:jc w:val="center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A0C6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Mídias/Redes Sociais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B47D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04E0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D9E6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Mídias/Redes Sociais,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</w:t>
            </w:r>
            <w:proofErr w:type="gramEnd"/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3DDE4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45E4D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11,11%</w:t>
            </w:r>
          </w:p>
        </w:tc>
      </w:tr>
      <w:tr w:rsidR="0089648E" w14:paraId="6E727969" w14:textId="77777777">
        <w:trPr>
          <w:trHeight w:val="555"/>
          <w:jc w:val="center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47AB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/videoconferência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54ED7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3E986C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11,11%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A4D11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B32E2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BDA4D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55,55%</w:t>
            </w:r>
          </w:p>
        </w:tc>
      </w:tr>
      <w:tr w:rsidR="0089648E" w14:paraId="25C2E885" w14:textId="77777777">
        <w:trPr>
          <w:trHeight w:val="645"/>
          <w:jc w:val="center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8AF40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7F8B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CCBA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22,22%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EDE8E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CA93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5066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11,11%</w:t>
            </w:r>
          </w:p>
        </w:tc>
      </w:tr>
      <w:tr w:rsidR="0089648E" w14:paraId="4FDCC3B6" w14:textId="77777777">
        <w:trPr>
          <w:trHeight w:val="315"/>
          <w:jc w:val="center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F072A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geral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2AFB8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C216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100,00%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A3421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E8304" w14:textId="77777777" w:rsidR="0089648E" w:rsidRDefault="0089648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5370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100,00%</w:t>
            </w:r>
          </w:p>
        </w:tc>
      </w:tr>
    </w:tbl>
    <w:p w14:paraId="634CF17C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Os autores (2020).</w:t>
      </w:r>
    </w:p>
    <w:p w14:paraId="19D9101F" w14:textId="77777777" w:rsidR="0089648E" w:rsidRDefault="0089648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C2238" w14:textId="15951FC5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quesito dificuldade, os participantes da pesquisa em 66,67% não sentiram empecilho ao uso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 entanto, mesmo que uma parcela pequena, 33,33% afirmaram que tiveram dificuldade pelo fator tempo de preparação. E, ma</w:t>
      </w:r>
      <w:r>
        <w:rPr>
          <w:rFonts w:ascii="Times New Roman" w:eastAsia="Times New Roman" w:hAnsi="Times New Roman" w:cs="Times New Roman"/>
          <w:sz w:val="24"/>
          <w:szCs w:val="24"/>
        </w:rPr>
        <w:t>jorita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100% do grupo re</w:t>
      </w:r>
      <w:r>
        <w:rPr>
          <w:rFonts w:ascii="Times New Roman" w:eastAsia="Times New Roman" w:hAnsi="Times New Roman" w:cs="Times New Roman"/>
          <w:sz w:val="24"/>
          <w:szCs w:val="24"/>
        </w:rPr>
        <w:t>spondeu que a UFMA, promoveu, sim, capacitação para o uso das ferramentas. Mas, apesar disto, os docentes avaliaram como bom (44,44%), conforme o depoimento do participante 1: “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momento é de adaptação ao uso dessas ferramentas tecnológicas. Para eventos 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irtuais como Ciclo de Debates e Jornadas relacionadas ao Jornalismo é eficaz”, no entanto, “prefiro, e vamos viver essa experiência, ao vivo para tentar manter uma relação/feedback com os alunos. A troca de experiências em sala de aula com a presença dos j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ovens é insubstituível”, </w:t>
      </w:r>
      <w:r>
        <w:rPr>
          <w:rFonts w:ascii="Times New Roman" w:eastAsia="Times New Roman" w:hAnsi="Times New Roman" w:cs="Times New Roman"/>
          <w:sz w:val="24"/>
          <w:szCs w:val="24"/>
        </w:rPr>
        <w:t>e  em contrapartida, também disseram que é necessário refletir sobre o modelo de ensino para um novo meio, pois “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neste aspecto imagino que muitos docente estejam distantes do que é necessário para o ensino à distância” (participant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2),  com isso, 55,55% classificaram como regular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tecnologias aplicadas no exercício da docência. </w:t>
      </w:r>
    </w:p>
    <w:p w14:paraId="7EC99794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Tocantins</w:t>
      </w:r>
    </w:p>
    <w:p w14:paraId="16C915C9" w14:textId="66B623A1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Universidade Federal do Tocantins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(UFT) foi instituída em 23 de outubro de 2000, pela Lei n° 10.032, a partir da t</w:t>
      </w:r>
      <w:r>
        <w:rPr>
          <w:rFonts w:ascii="Times New Roman" w:eastAsia="Times New Roman" w:hAnsi="Times New Roman" w:cs="Times New Roman"/>
          <w:sz w:val="24"/>
          <w:szCs w:val="24"/>
        </w:rPr>
        <w:t>ransferência dos cursos e da infraestrutura da Universidade do Tocantins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mantida pelo Estado do Tocantins. Porém, só teve sua implantação efetiva em maio de 2003, com a posse dos primeiros professores da Instituição. A instituição possui, em 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mas, 17 cursos de graduação, 20 especializações e </w:t>
      </w:r>
      <w:r>
        <w:rPr>
          <w:rFonts w:ascii="Times New Roman" w:eastAsia="Times New Roman" w:hAnsi="Times New Roman" w:cs="Times New Roman"/>
          <w:sz w:val="24"/>
          <w:szCs w:val="24"/>
        </w:rPr>
        <w:t>16 programas de mestrado e doutorado nas mais diversas áreas do conhecimento.</w:t>
      </w:r>
    </w:p>
    <w:p w14:paraId="3B556DCD" w14:textId="01E91ACF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curso de Bacharelado em Comunicação Social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criado pelo Decreto Estadual n.º 332, em 18 de outubro de 1996, ainda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funcionamento foi autorizado e publicado em Diário Oficial em 28 de agosto de 2000, 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reconhecimento foi feito em setembro de 2001. Com a criação da Universidade 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deral do Tocantins, em convênio assinado entre o Governo do Estado,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o Governo Federal, o os cursos de graduação oferecidos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foram transferidos para a UFT. Assim, foram realizadas diversas adequações no quadro de professores e nos se</w:t>
      </w:r>
      <w:r>
        <w:rPr>
          <w:rFonts w:ascii="Times New Roman" w:eastAsia="Times New Roman" w:hAnsi="Times New Roman" w:cs="Times New Roman"/>
          <w:sz w:val="24"/>
          <w:szCs w:val="24"/>
        </w:rPr>
        <w:t>us Projetos Pedagógicos. O curso passou então pelo recredenciamento em agosto de 2005, pelo Conselho de Educação Superior - Inep/MEC. Com a instituição das Novas Diretrizes Curriculares, em 2013, o Jornalismo passou a constituir graduação dissociada da gra</w:t>
      </w:r>
      <w:r>
        <w:rPr>
          <w:rFonts w:ascii="Times New Roman" w:eastAsia="Times New Roman" w:hAnsi="Times New Roman" w:cs="Times New Roman"/>
          <w:sz w:val="24"/>
          <w:szCs w:val="24"/>
        </w:rPr>
        <w:t>nde área da Comunicação Social.</w:t>
      </w:r>
    </w:p>
    <w:p w14:paraId="57622AA3" w14:textId="56B4F394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Atualmente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curso está sob coordenação da Prof. Dra. Valquíria Guimarães,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possui 2</w:t>
      </w:r>
      <w:r>
        <w:rPr>
          <w:rFonts w:ascii="Times New Roman" w:eastAsia="Times New Roman" w:hAnsi="Times New Roman" w:cs="Times New Roman"/>
          <w:sz w:val="24"/>
          <w:szCs w:val="24"/>
        </w:rPr>
        <w:t>2 professores efetivos e 3 colaboradores. Desse total, 1</w:t>
      </w:r>
      <w:r>
        <w:rPr>
          <w:rFonts w:ascii="Times New Roman" w:eastAsia="Times New Roman" w:hAnsi="Times New Roman" w:cs="Times New Roman"/>
          <w:sz w:val="24"/>
          <w:szCs w:val="24"/>
        </w:rPr>
        <w:t>6 (72,73%)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docentes participaram da pesquisa, sendo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68,75</w:t>
      </w:r>
      <w:r>
        <w:rPr>
          <w:rFonts w:ascii="Times New Roman" w:eastAsia="Times New Roman" w:hAnsi="Times New Roman" w:cs="Times New Roman"/>
          <w:sz w:val="24"/>
          <w:szCs w:val="24"/>
        </w:rPr>
        <w:t>%) feminino e 5 (</w:t>
      </w:r>
      <w:r>
        <w:rPr>
          <w:rFonts w:ascii="Times New Roman" w:eastAsia="Times New Roman" w:hAnsi="Times New Roman" w:cs="Times New Roman"/>
          <w:sz w:val="24"/>
          <w:szCs w:val="24"/>
        </w:rPr>
        <w:t>31,25</w:t>
      </w:r>
      <w:r>
        <w:rPr>
          <w:rFonts w:ascii="Times New Roman" w:eastAsia="Times New Roman" w:hAnsi="Times New Roman" w:cs="Times New Roman"/>
          <w:sz w:val="24"/>
          <w:szCs w:val="24"/>
        </w:rPr>
        <w:t>%) masculino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entre as idades de 45-54 (43,75%); 55-64 (31,25%); 25-34 e 35-44 com 12,50%, respectivamente. O corpo docente de Jornalismo possui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titulação diversificada, </w:t>
      </w:r>
      <w:r>
        <w:rPr>
          <w:rFonts w:ascii="Times New Roman" w:eastAsia="Times New Roman" w:hAnsi="Times New Roman" w:cs="Times New Roman"/>
          <w:sz w:val="24"/>
          <w:szCs w:val="24"/>
        </w:rPr>
        <w:t>fracionado en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doutorado (50%); </w:t>
      </w:r>
      <w:r>
        <w:rPr>
          <w:rFonts w:ascii="Times New Roman" w:eastAsia="Times New Roman" w:hAnsi="Times New Roman" w:cs="Times New Roman"/>
          <w:sz w:val="24"/>
          <w:szCs w:val="24"/>
        </w:rPr>
        <w:t>pós-doutorado (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18,75</w:t>
      </w:r>
      <w:r>
        <w:rPr>
          <w:rFonts w:ascii="Times New Roman" w:eastAsia="Times New Roman" w:hAnsi="Times New Roman" w:cs="Times New Roman"/>
          <w:sz w:val="24"/>
          <w:szCs w:val="24"/>
        </w:rPr>
        <w:t>%); e especialização (</w:t>
      </w:r>
      <w:r>
        <w:rPr>
          <w:rFonts w:ascii="Times New Roman" w:eastAsia="Times New Roman" w:hAnsi="Times New Roman" w:cs="Times New Roman"/>
          <w:sz w:val="24"/>
          <w:szCs w:val="24"/>
        </w:rPr>
        <w:t>6,25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>, com experiência na área de até 5 anos (18,75%); de 11 a 19 anos (43,75%) e acima dos 20 anos somente 37,50%. Percebe-se então uma categoria com qualificação titular e am</w:t>
      </w:r>
      <w:r>
        <w:rPr>
          <w:rFonts w:ascii="Times New Roman" w:eastAsia="Times New Roman" w:hAnsi="Times New Roman" w:cs="Times New Roman"/>
          <w:sz w:val="24"/>
          <w:szCs w:val="24"/>
        </w:rPr>
        <w:t>pla experiência. Com o objetivo de conhecer quais tecnologias digitais o grupo de profissionais utilizavam antes da pandemia, a maioria concentrou suas respostas em AVA/Moodle e mídias/redes sociais (37,50%), já durante o período de suspensão das atividade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presenciais, o recurso mais utilizado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foram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videoaulas/videoconferências (37,50%).</w:t>
      </w:r>
    </w:p>
    <w:p w14:paraId="6C18E5AB" w14:textId="77777777" w:rsidR="0089648E" w:rsidRDefault="0089648E" w:rsidP="0064178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22FC257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Tabela 2: Tecnologias digitais antes e durante a pandemia na UFT/Palmas </w:t>
      </w:r>
    </w:p>
    <w:tbl>
      <w:tblPr>
        <w:tblStyle w:val="a0"/>
        <w:tblW w:w="81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195"/>
        <w:gridCol w:w="930"/>
        <w:gridCol w:w="2655"/>
        <w:gridCol w:w="375"/>
        <w:gridCol w:w="1005"/>
      </w:tblGrid>
      <w:tr w:rsidR="0089648E" w14:paraId="64CA9DBF" w14:textId="77777777">
        <w:trPr>
          <w:trHeight w:val="405"/>
          <w:jc w:val="center"/>
        </w:trPr>
        <w:tc>
          <w:tcPr>
            <w:tcW w:w="294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F48C4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Tecnologias digitais (antes)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753C8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2B5EB8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81AA6DD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Tecnologias digitais (durante)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044ED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0E10D5E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9648E" w14:paraId="65D635B3" w14:textId="77777777">
        <w:trPr>
          <w:trHeight w:val="645"/>
          <w:jc w:val="center"/>
        </w:trPr>
        <w:tc>
          <w:tcPr>
            <w:tcW w:w="294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296F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AVA/Moodle</w:t>
            </w:r>
          </w:p>
        </w:tc>
        <w:tc>
          <w:tcPr>
            <w:tcW w:w="195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6F8EC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83220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12,50%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7DEE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AVA/Moodle,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Sociais, Outros</w:t>
            </w:r>
          </w:p>
        </w:tc>
        <w:tc>
          <w:tcPr>
            <w:tcW w:w="375" w:type="dxa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F0DA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B68F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31,25%</w:t>
            </w:r>
          </w:p>
        </w:tc>
      </w:tr>
      <w:tr w:rsidR="0089648E" w14:paraId="5061D27F" w14:textId="77777777">
        <w:trPr>
          <w:trHeight w:val="825"/>
          <w:jc w:val="center"/>
        </w:trPr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704F1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AVA/Moodle, Mídias/Redes Sociais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5877E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B9C80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37,50%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FCF64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AVA/Moodle,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3F098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1B2B7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6,25%</w:t>
            </w:r>
          </w:p>
        </w:tc>
      </w:tr>
      <w:tr w:rsidR="0089648E" w14:paraId="43C35ABD" w14:textId="77777777">
        <w:trPr>
          <w:trHeight w:val="420"/>
          <w:jc w:val="center"/>
        </w:trPr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53EE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AVA/Moodle,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C26C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84C80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18,75%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BAAC9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3A428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D62C7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37,50%</w:t>
            </w:r>
          </w:p>
        </w:tc>
      </w:tr>
      <w:tr w:rsidR="0089648E" w14:paraId="4699AE5B" w14:textId="77777777">
        <w:trPr>
          <w:trHeight w:val="555"/>
          <w:jc w:val="center"/>
        </w:trPr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CD49C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Mídias/Redes Sociais 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5373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525C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8395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C687E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171DB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89648E" w14:paraId="533F4427" w14:textId="77777777">
        <w:trPr>
          <w:trHeight w:val="645"/>
          <w:jc w:val="center"/>
        </w:trPr>
        <w:tc>
          <w:tcPr>
            <w:tcW w:w="29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2C40F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Vídeoaulas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/videoconferência, Mídias/Redes Sociais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8359D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D8A6C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6,25%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42886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38DF8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A558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8E" w14:paraId="10D1D959" w14:textId="77777777">
        <w:trPr>
          <w:trHeight w:val="315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66389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geral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550AC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4780E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100,00%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E72F3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CA128" w14:textId="77777777" w:rsidR="0089648E" w:rsidRDefault="0089648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F3CF2" w14:textId="77777777" w:rsidR="0089648E" w:rsidRDefault="00497C0E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100,00%</w:t>
            </w:r>
          </w:p>
        </w:tc>
      </w:tr>
    </w:tbl>
    <w:p w14:paraId="5D8BDF1B" w14:textId="77777777" w:rsidR="0089648E" w:rsidRDefault="00497C0E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Os autores (2020).</w:t>
      </w:r>
    </w:p>
    <w:p w14:paraId="59FAFC5A" w14:textId="77777777" w:rsidR="0089648E" w:rsidRDefault="0089648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FF7F8" w14:textId="1ECC6F03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levantamento mostrou que 37,50% sentiram dificuldade ao uso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pois não tiveram tempo para preparação, no entanto, a maioria, 62,50% teve fácil adaptação ao universo tecnológico. Eles ficaram divididos quando questionados se a UFT promoveu suport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ou capacitação para o uso das tecnologias digitais aplicadas na docência, os professores participantes responderam sim (50%) e não (50%). Por fim, na avaliação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sobre a relação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TDICs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ensino, o parecer foi regular (56,25%), perceptível na seguinte fala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participante 5: “ainda estamos em fase de adaptação a essa nova realidade, onde as tecnologias digitais são os únicos recursos possíveis de ensino. Temos testado modelos e ferramentas que possam ser eficazes e atendam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às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necessidades dos nossos alunos”;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apenas 1 (6,25%) docente classificou como excelente, “o simples fato de dar aulas online não configura ensino a distância, se assim for,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toda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vez que 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indica um atividade para ser realizada fora do alcance dos seu olhos, também seria” (participante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9); e 37,50% entenderam como bom tal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relação, “o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engajamento e participação daqueles que têm acesso às tecnologias é muito satisfatório. Porém, o ideal está longe de ser alcançado em função da vulnerabilidade socioeconômica e cultural de boa parte dos estu</w:t>
      </w:r>
      <w:r>
        <w:rPr>
          <w:rFonts w:ascii="Times New Roman" w:eastAsia="Times New Roman" w:hAnsi="Times New Roman" w:cs="Times New Roman"/>
          <w:sz w:val="24"/>
          <w:szCs w:val="24"/>
        </w:rPr>
        <w:t>dantes, o que inviabiliza a participação ativa nas atividades remotas” (participante 12).</w:t>
      </w:r>
    </w:p>
    <w:p w14:paraId="55C88E74" w14:textId="77777777" w:rsidR="0089648E" w:rsidRDefault="0089648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A0DDC2C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</w:t>
      </w:r>
    </w:p>
    <w:p w14:paraId="50C44A44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utilização das tecnologias digitais da informação e comunicação é uma realidade nas escolas, universidades, empresas e diversos setores da sociedade. Na educação, pode ser uma ferramenta importante que proporcione uma aprendizagem criativa, dinâmica e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várias possibilidades de ensino. Nesse contexto, a pesquisa buscou investigar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como os professores das Universidades Federais do Maranhão e Tocantins estão usando as novas tecnologias em meio a pandemia da Covid-19.</w:t>
      </w:r>
    </w:p>
    <w:p w14:paraId="1561FB15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total, participaram 25, em que na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maioria são compostos por mulheres, doutores e pós-doutores, compreendem a faixa etária de 35 a 54, com tempo de atuação na docência entre 11 e 19 anos. Logo percebe-se que o público reflete uma categoria com titulação qualificada, largo conhecimento 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xperiência na profissão. Sobre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aplicação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ecnologias digitais na </w:t>
      </w:r>
      <w:r>
        <w:rPr>
          <w:rFonts w:ascii="Times New Roman" w:eastAsia="Times New Roman" w:hAnsi="Times New Roman" w:cs="Times New Roman"/>
          <w:sz w:val="24"/>
          <w:szCs w:val="24"/>
        </w:rPr>
        <w:t>prática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cente e nas atividades pedagógicas,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muitos professores não sentiram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dificuldade com o uso dos recursos e os demais alegaram não terem tido tempo suficiente para se capacitarem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6AEA0914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Antes da pandemia, as atividades acadêmicas tinham o reforço do Ambiente Virtual de Aprendizado e o Moodle, que permitem compartilhar informações, conteúdo e materiais com os alunos, por meio de fóruns, chats, anexos, e-mails, e a integração com as míd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ias ou redes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ociais, como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twitter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Com a suspensão das aulas presenciais e o aumento do ensino remoto, o levantamento mostrou que além dessas tecnologias já utilizadas, houve uma maior presença dos doce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ntes nas plataformas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Google Sala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Aula, Zoom ou Skype, para participarem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videoaulas ou videoconferências com os estudantes.</w:t>
      </w:r>
    </w:p>
    <w:p w14:paraId="2F6B23CD" w14:textId="77777777" w:rsidR="0089648E" w:rsidRDefault="00497C0E" w:rsidP="0064178E">
      <w:pPr>
        <w:spacing w:after="0" w:line="360" w:lineRule="auto"/>
        <w:ind w:left="-2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meio às tecnologias digitais enfatizadas, os profissionais informaram que a universidade promov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 suporte ou capacitação nesse período, mas, alguns disseram que não receberam esse auxílio,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UFT, em especial, os profissionais ficaram divididos quanto ao suporte oferecido pela instituição. 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sujeitos investigados avaliaram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uso das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Com esse estudo, é possível observar que as ferramentas possibilitam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uma gama de informações, com destaque para mídias, softwares e compartilhamento de mensagens instantâneas e reforçam o compromisso dos professores com o ensino e aprendizagem. Mesmo </w:t>
      </w:r>
      <w:r>
        <w:rPr>
          <w:rFonts w:ascii="Times New Roman" w:eastAsia="Times New Roman" w:hAnsi="Times New Roman" w:cs="Times New Roman"/>
          <w:sz w:val="24"/>
          <w:szCs w:val="24"/>
        </w:rPr>
        <w:t>perante os desafios que enfrentam diariamente com possíveis oscilações da internet, distanciamento social e demais afazeres domésticos, eles demonstraram adaptáveis a esta realidade e colocaram em prática novas abordagens didáticas para manter esses espaço</w:t>
      </w:r>
      <w:r>
        <w:rPr>
          <w:rFonts w:ascii="Times New Roman" w:eastAsia="Times New Roman" w:hAnsi="Times New Roman" w:cs="Times New Roman"/>
          <w:sz w:val="24"/>
          <w:szCs w:val="24"/>
        </w:rPr>
        <w:t>s como extensão da sala de aula</w:t>
      </w:r>
      <w:r>
        <w:rPr>
          <w:rFonts w:ascii="Times New Roman" w:eastAsia="Times New Roman" w:hAnsi="Times New Roman" w:cs="Times New Roman"/>
          <w:sz w:val="24"/>
          <w:szCs w:val="24"/>
        </w:rPr>
        <w:t>, além disso os dados revelam que em ambas universidades, os docentes utilizam diversas plataformas para auxiliar no ensino e transformar o espaço virtual para além das aulas presenciais.</w:t>
      </w:r>
    </w:p>
    <w:p w14:paraId="3C4939BA" w14:textId="77777777" w:rsidR="0089648E" w:rsidRDefault="0089648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86EA2" w14:textId="77777777" w:rsidR="0089648E" w:rsidRDefault="00497C0E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6FF9236D" w14:textId="5439A3A5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BAUER, Martin W; GASKELL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George; ALLUM, Nicholas C. Qualidade, quantidade e interesses do conhecimento: evitando confusões.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BAUER, Martin W; GASKELL, George (org.).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Pesquisa qualitativa com texto imagem e som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 manual prático. Petrópolis: Editora Vozes, 2002.</w:t>
      </w:r>
    </w:p>
    <w:p w14:paraId="43D0FFFD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BARTON, David;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LEE, Carmen.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Linguagem online: textos e práticas digitais </w:t>
      </w:r>
      <w:r>
        <w:rPr>
          <w:rFonts w:ascii="Times New Roman" w:eastAsia="Times New Roman" w:hAnsi="Times New Roman" w:cs="Times New Roman"/>
          <w:sz w:val="24"/>
          <w:szCs w:val="24"/>
        </w:rPr>
        <w:t>(Tradução Milton Camargo Mota). São Paulo: Parábola, 2015.</w:t>
      </w:r>
    </w:p>
    <w:p w14:paraId="43F95C42" w14:textId="5A0F8BBD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BLANCO Elias; SILVA, Bento </w:t>
      </w:r>
      <w:r w:rsidR="0064178E">
        <w:rPr>
          <w:rFonts w:ascii="Times New Roman" w:eastAsia="Times New Roman" w:hAnsi="Times New Roman" w:cs="Times New Roman"/>
          <w:sz w:val="24"/>
          <w:szCs w:val="24"/>
        </w:rPr>
        <w:t>Duarte.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(1993).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Tecnologia Educativa em Portugal: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conceito. Origens, evolução, áreas de intervenção e investigação. Disponível em: http://repositorium.sdum.uminho.pt/handle/1822/521. Acesso em: 17 jul. 2020.</w:t>
      </w:r>
    </w:p>
    <w:p w14:paraId="50553787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CANABARRO, Maria Margarete; BASSO, Lourenço de Oliveira. Os Professores e as Redes Sociais: É 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sível utilizar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Facebook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além do “curtir”?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Novas Tecnologias na Educação</w:t>
      </w:r>
      <w:r>
        <w:rPr>
          <w:rFonts w:ascii="Times New Roman" w:eastAsia="Times New Roman" w:hAnsi="Times New Roman" w:cs="Times New Roman"/>
          <w:sz w:val="24"/>
          <w:szCs w:val="24"/>
        </w:rPr>
        <w:t>, v. 11, n. 1, jul. 2013.</w:t>
      </w:r>
    </w:p>
    <w:p w14:paraId="704010EE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CASTELLS, Manuel.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sociedade em rede</w:t>
      </w:r>
      <w:r>
        <w:rPr>
          <w:rFonts w:ascii="Times New Roman" w:eastAsia="Times New Roman" w:hAnsi="Times New Roman" w:cs="Times New Roman"/>
          <w:sz w:val="24"/>
          <w:szCs w:val="24"/>
        </w:rPr>
        <w:t>: a era da informação: economia, sociedade e cultura. 8. ed. São Paulo: Paz e Terra, 1999.</w:t>
      </w:r>
    </w:p>
    <w:p w14:paraId="64D660F6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ECKHARDT, Maristela; LEM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Antônio Carlos Freitas Vale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impacto da tecnologia da informação e comunicação. </w:t>
      </w:r>
      <w:r>
        <w:rPr>
          <w:rFonts w:ascii="Times New Roman" w:eastAsia="Times New Roman" w:hAnsi="Times New Roman" w:cs="Times New Roman"/>
          <w:sz w:val="24"/>
          <w:szCs w:val="24"/>
        </w:rPr>
        <w:t>Sociais e Humanas, Santa Maria, v. 20 - edição especial - setembro 2007 - p. 295-312</w:t>
      </w:r>
    </w:p>
    <w:p w14:paraId="0F52A9CB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FACHIN. Odília.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Fundamentos de Metodologia</w:t>
      </w:r>
      <w:r>
        <w:rPr>
          <w:rFonts w:ascii="Times New Roman" w:eastAsia="Times New Roman" w:hAnsi="Times New Roman" w:cs="Times New Roman"/>
          <w:sz w:val="24"/>
          <w:szCs w:val="24"/>
        </w:rPr>
        <w:t>. 5. Ed. São Paulo: Saraiva, 2006.</w:t>
      </w:r>
    </w:p>
    <w:p w14:paraId="71487DDA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RDT, Tatiana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SILVEIRA, Denise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 de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Universidade Aberta do Brasil – UAB/UFRGS e pelo Curso de Graduação Tecnológica – Planejamento e Gestão para o Desenvolvimento Rural da SEAD/UFRGS. – Porto Alegre: Editora da UFRGS, 200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0510FB60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GIL, Antônio Carlos.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Como elaborar projetos de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Ed. São Paulo: Atlas, 2002.</w:t>
      </w:r>
    </w:p>
    <w:p w14:paraId="778849FE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_________________. Educação e internet no Brasil.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Cad.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Adenauer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Rio de Janeiro, Vol.16, n.3, p. 133-150, 2015.</w:t>
      </w:r>
    </w:p>
    <w:p w14:paraId="428B9759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GIMENO SACRISTÁN, J.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Educar e conviver na cultura glo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bal</w:t>
      </w:r>
      <w:r>
        <w:rPr>
          <w:rFonts w:ascii="Times New Roman" w:eastAsia="Times New Roman" w:hAnsi="Times New Roman" w:cs="Times New Roman"/>
          <w:sz w:val="24"/>
          <w:szCs w:val="24"/>
        </w:rPr>
        <w:t>: as exigências da cidadania. Porto Alegre: Artmed, 2002.</w:t>
      </w:r>
    </w:p>
    <w:p w14:paraId="003A17C3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KENSKI,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Moreira (2013).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Tecnologias e tempo docente</w:t>
      </w:r>
      <w:r>
        <w:rPr>
          <w:rFonts w:ascii="Times New Roman" w:eastAsia="Times New Roman" w:hAnsi="Times New Roman" w:cs="Times New Roman"/>
          <w:sz w:val="24"/>
          <w:szCs w:val="24"/>
        </w:rPr>
        <w:t>. Campinas, SP: Papirus.</w:t>
      </w:r>
    </w:p>
    <w:p w14:paraId="4FAE52EE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MANZO, Abelardo.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Manual para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preparación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monografías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presentar informes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Buenos Aires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Humanitas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1971.</w:t>
      </w:r>
    </w:p>
    <w:p w14:paraId="6DB04C0D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MARCONI, Marina de Andrade. LAKATOS, Eva Maria.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Fundamentos de Metodologia Científica</w:t>
      </w:r>
      <w:r>
        <w:rPr>
          <w:rFonts w:ascii="Times New Roman" w:eastAsia="Times New Roman" w:hAnsi="Times New Roman" w:cs="Times New Roman"/>
          <w:sz w:val="24"/>
          <w:szCs w:val="24"/>
        </w:rPr>
        <w:t>. 7. ed. São Paulo: Atlas, 2010.</w:t>
      </w:r>
    </w:p>
    <w:p w14:paraId="1F6283EA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MATIAS,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Vandeir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Robson da Silva. Implicações das novas tecnologias na educação geográfica: Para quem? e para que?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Camin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hos de Geografia, </w:t>
      </w:r>
      <w:r>
        <w:rPr>
          <w:rFonts w:ascii="Times New Roman" w:eastAsia="Times New Roman" w:hAnsi="Times New Roman" w:cs="Times New Roman"/>
          <w:sz w:val="24"/>
          <w:szCs w:val="24"/>
        </w:rPr>
        <w:t>v. 22, n. 16, p. 242-253, out., 2005.</w:t>
      </w:r>
    </w:p>
    <w:p w14:paraId="216B5EC8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MICHEL, Maria Helena.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 e pesquisa científica em ciências sociais: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guia prático para acompanhamento da disciplina e elaboração de trabalhos monográficos. São Paulo: Atlas, 2015.</w:t>
      </w:r>
    </w:p>
    <w:p w14:paraId="2F1FF008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MILL, 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Análise da educação a distância como interseção entre a formação docente, as tecnologias digitais e a pós-graduação.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Educação em Perspectiva, Viçosa, v. 4, n. 2, p. 343-369, jul./dez. 2013.</w:t>
      </w:r>
    </w:p>
    <w:p w14:paraId="7748206B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MERCADO, L. P. 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Formação continuada de professores e novas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tecnologias</w:t>
      </w:r>
      <w:r>
        <w:rPr>
          <w:rFonts w:ascii="Times New Roman" w:eastAsia="Times New Roman" w:hAnsi="Times New Roman" w:cs="Times New Roman"/>
          <w:sz w:val="24"/>
          <w:szCs w:val="24"/>
        </w:rPr>
        <w:t>. Maceió: EDUFAL, 1999.</w:t>
      </w:r>
    </w:p>
    <w:p w14:paraId="2510ADF2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MORAN, José Manuel; MASETTO, Marcos; BEHRENS, Marilda Aparecida.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Novas tecnologias e mediação pedagógica</w:t>
      </w:r>
      <w:r>
        <w:rPr>
          <w:rFonts w:ascii="Times New Roman" w:eastAsia="Times New Roman" w:hAnsi="Times New Roman" w:cs="Times New Roman"/>
          <w:sz w:val="24"/>
          <w:szCs w:val="24"/>
        </w:rPr>
        <w:t>. Campinas, SP: Papirus, 2014. ISBN 8530805941.</w:t>
      </w:r>
    </w:p>
    <w:p w14:paraId="0BEDE72C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MOYSÉS, Lúcia.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desafio de saber ensinar.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Campinas: Papirus, 1994.</w:t>
      </w:r>
    </w:p>
    <w:p w14:paraId="40CA36AF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PASTORE, Renata. Guimarães.; CERQUEIRA, Valdenice Minatel Melo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Currículo e tecnologias: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práticas que se entrelaçam. Sociedade e Estado, Brasília, v. 19, n. 1, p. 51-59,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mai-ago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14:paraId="28A0BE27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PEREIRA, Danilo Moura; SILVA,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 Tecnologias de Informação e Comunicação (TICs) como aliadas para o desenvolvimento</w:t>
      </w:r>
      <w:r>
        <w:rPr>
          <w:rFonts w:ascii="Times New Roman" w:eastAsia="Times New Roman" w:hAnsi="Times New Roman" w:cs="Times New Roman"/>
          <w:sz w:val="24"/>
          <w:szCs w:val="24"/>
        </w:rPr>
        <w:t>. Cadernos de Ciências Sociais Aplicadas,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.], ago. 2020. ISSN 2358-1212. Disponível em: &lt;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http://periodicos2.uesb.br/index.php/ccsa/article/view/1935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&gt;. Acesso em 28 jul. 2020. PERRENOUD, Philippe.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 novas competências para ensinar</w:t>
      </w:r>
      <w:r>
        <w:rPr>
          <w:rFonts w:ascii="Times New Roman" w:eastAsia="Times New Roman" w:hAnsi="Times New Roman" w:cs="Times New Roman"/>
          <w:sz w:val="24"/>
          <w:szCs w:val="24"/>
        </w:rPr>
        <w:t>: convite à viagem. 4 ed. Porto Alegre: Artes Médicas Sul, 2006.</w:t>
      </w:r>
    </w:p>
    <w:p w14:paraId="39ABAB32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PIAGET, Jean.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Psicologia e pedagogia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Rio de </w:t>
      </w:r>
      <w:r>
        <w:rPr>
          <w:rFonts w:ascii="Times New Roman" w:eastAsia="Times New Roman" w:hAnsi="Times New Roman" w:cs="Times New Roman"/>
          <w:sz w:val="24"/>
          <w:szCs w:val="24"/>
        </w:rPr>
        <w:t>Janeiro: Forense Universitário, 1998.</w:t>
      </w:r>
    </w:p>
    <w:p w14:paraId="09D36C84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PONTE, João Pedro da.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Tecnologias de informação e comunicação na formação de professores: que desafios?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Revista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Iberoamericana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Educación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24, p. 63-90, set./dez. 2000.</w:t>
      </w:r>
    </w:p>
    <w:p w14:paraId="0EF6C525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SAMPAIO, Marisa N.; LEITE, Lígia 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Alfabeti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zação tecnológica do professor.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Petrópolis:Vozes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2011.</w:t>
      </w:r>
    </w:p>
    <w:p w14:paraId="2BF5D0F8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SASSAKI, Romeu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Inclusão: construindo uma sociedade para todos. 3. ed. Rio de Janeiro: WVA, 1997. SUZUKI, J. T. F.; RAMPAZZO, S. R.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Tecnologias em educação.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São Paulo: Pearson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Brasil, 2011.</w:t>
      </w:r>
    </w:p>
    <w:p w14:paraId="105E7A3C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TREINTA, Fernanda Tavares, et 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 de pesquisa bibliográfica com a utilização de método multicritério de apoio à decisão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v. 24, n. 3, p. 508-520, July/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http://dx.doi.org/10.1590/S0103-65132013005000078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415DC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TRUJILLO FERRARI, Alfonso.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 da Ciência</w:t>
      </w:r>
      <w:r>
        <w:rPr>
          <w:rFonts w:ascii="Times New Roman" w:eastAsia="Times New Roman" w:hAnsi="Times New Roman" w:cs="Times New Roman"/>
          <w:sz w:val="24"/>
          <w:szCs w:val="24"/>
        </w:rPr>
        <w:t>. 3. ed. Rio de Janeiro: Kennedy, 1974. Capítulo 6 e 7.</w:t>
      </w:r>
    </w:p>
    <w:p w14:paraId="06EFAE42" w14:textId="22DB54F8" w:rsidR="0089648E" w:rsidRDefault="00497C0E" w:rsidP="0064178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TRUJILLO,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Novas tecnologias no ensino: a inovação tecnológica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nas universidades federais brasileiras.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Inc.Soc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Brasília, DF, v.10 n.1, p.66-83, jul./dez. 2016. </w:t>
      </w:r>
    </w:p>
    <w:sectPr w:rsidR="0089648E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091B0" w14:textId="77777777" w:rsidR="00497C0E" w:rsidRDefault="00497C0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A3BEC9" w14:textId="77777777" w:rsidR="00497C0E" w:rsidRDefault="00497C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2B911" w14:textId="77777777" w:rsidR="00497C0E" w:rsidRDefault="00497C0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D96708E" w14:textId="77777777" w:rsidR="00497C0E" w:rsidRDefault="00497C0E">
      <w:pPr>
        <w:spacing w:after="0" w:line="240" w:lineRule="auto"/>
        <w:ind w:left="0" w:hanging="2"/>
      </w:pPr>
      <w:r>
        <w:continuationSeparator/>
      </w:r>
    </w:p>
  </w:footnote>
  <w:footnote w:id="1">
    <w:p w14:paraId="2E2DF4A7" w14:textId="77777777" w:rsidR="0089648E" w:rsidRDefault="00497C0E">
      <w:pPr>
        <w:spacing w:after="0" w:line="240" w:lineRule="auto"/>
        <w:ind w:left="0"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Artigo enviado ao GT 2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atividades educacionais e o uso das tecnologias digitais</w:t>
      </w:r>
      <w:r>
        <w:rPr>
          <w:rFonts w:ascii="Times New Roman" w:eastAsia="Times New Roman" w:hAnsi="Times New Roman" w:cs="Times New Roman"/>
          <w:sz w:val="20"/>
          <w:szCs w:val="20"/>
        </w:rPr>
        <w:t>, integrante do Encontro Virtual da Associação Brasileira de Pesquisadores em Cibercultura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ABCiber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realizado de 30 de junho e 01 de junho de 2020.</w:t>
      </w:r>
    </w:p>
  </w:footnote>
  <w:footnote w:id="2">
    <w:p w14:paraId="340F791E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Professor subs</w:t>
      </w:r>
      <w:r>
        <w:rPr>
          <w:rFonts w:ascii="Times New Roman" w:eastAsia="Times New Roman" w:hAnsi="Times New Roman" w:cs="Times New Roman"/>
          <w:sz w:val="20"/>
          <w:szCs w:val="20"/>
        </w:rPr>
        <w:t>tituto do curso de Jornalismo, da Universidade Federal do Tocantins (UFT), Mestre em Comunicação e Sociedade (UFT) e integrante do Núcleo de Pesquisa em Jornalismo e Multimídia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NepJor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/UFT) e do Grupo de Pesquisa Jornalismo, Mídia e Memória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Joimp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/UFMA).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-mail: </w:t>
      </w:r>
      <w:hyperlink r:id="rId1">
        <w:r>
          <w:rPr>
            <w:rFonts w:ascii="Times New Roman" w:eastAsia="Times New Roman" w:hAnsi="Times New Roman" w:cs="Times New Roman"/>
            <w:sz w:val="20"/>
            <w:szCs w:val="20"/>
          </w:rPr>
          <w:t>jorwilliamcastro</w:t>
        </w:r>
      </w:hyperlink>
      <w:hyperlink r:id="rId2">
        <w:r>
          <w:rPr>
            <w:rFonts w:ascii="Times New Roman" w:eastAsia="Times New Roman" w:hAnsi="Times New Roman" w:cs="Times New Roman"/>
            <w:sz w:val="20"/>
            <w:szCs w:val="20"/>
          </w:rPr>
          <w:t>@gmail.com</w:t>
        </w:r>
      </w:hyperlink>
    </w:p>
  </w:footnote>
  <w:footnote w:id="3">
    <w:p w14:paraId="50A6548E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Mestranda no Programa de Pós-Graduação em Comunicação da Universidade Federal do Maranhão (UFMA/Imperatriz), bolsi</w:t>
      </w:r>
      <w:r>
        <w:rPr>
          <w:rFonts w:ascii="Times New Roman" w:eastAsia="Times New Roman" w:hAnsi="Times New Roman" w:cs="Times New Roman"/>
          <w:sz w:val="20"/>
          <w:szCs w:val="20"/>
        </w:rPr>
        <w:t>sta na Fundação de Amparo à Pesquisa e ao Desenvolvimento Científico e Tecnológico do Maranhão (FAPEMA) e integrante do Grupo de Pesquisa Jornalismo, Mídia e Memória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Joimp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/UFMA).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">
        <w:r>
          <w:rPr>
            <w:rFonts w:ascii="Times New Roman" w:eastAsia="Times New Roman" w:hAnsi="Times New Roman" w:cs="Times New Roman"/>
            <w:sz w:val="20"/>
            <w:szCs w:val="20"/>
          </w:rPr>
          <w:t>gessielansilva@o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utlook.com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806B191" w14:textId="77777777" w:rsidR="0089648E" w:rsidRDefault="0089648E">
      <w:pPr>
        <w:spacing w:after="0" w:line="240" w:lineRule="auto"/>
        <w:ind w:left="0" w:hanging="2"/>
        <w:rPr>
          <w:sz w:val="20"/>
          <w:szCs w:val="20"/>
        </w:rPr>
      </w:pPr>
    </w:p>
  </w:footnote>
  <w:footnote w:id="4">
    <w:p w14:paraId="53D6C351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Universidade Federal do Maranhão - Disponível em &lt;</w:t>
      </w:r>
      <w:hyperlink r:id="rId4">
        <w:r>
          <w:rPr>
            <w:rFonts w:ascii="Times New Roman" w:eastAsia="Times New Roman" w:hAnsi="Times New Roman" w:cs="Times New Roman"/>
            <w:sz w:val="20"/>
            <w:szCs w:val="20"/>
          </w:rPr>
          <w:t>https://portais.ufma.br/PortalUfma/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&gt; Acesso em 27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2020.</w:t>
      </w:r>
    </w:p>
  </w:footnote>
  <w:footnote w:id="5">
    <w:p w14:paraId="710FEABE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Universidade Federal do Tocantins - Disponível em &lt;</w:t>
      </w:r>
      <w:hyperlink r:id="rId5">
        <w:r>
          <w:rPr>
            <w:rFonts w:ascii="Times New Roman" w:eastAsia="Times New Roman" w:hAnsi="Times New Roman" w:cs="Times New Roman"/>
            <w:sz w:val="20"/>
            <w:szCs w:val="20"/>
          </w:rPr>
          <w:t>https://ww2.uft.edu.br//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&gt; Acesso em 27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0.</w:t>
      </w:r>
    </w:p>
  </w:footnote>
  <w:footnote w:id="6">
    <w:p w14:paraId="0AAD5F95" w14:textId="77777777" w:rsidR="0089648E" w:rsidRDefault="00497C0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Campus Imperatriz - Disponível em &lt;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https://portais.ufma.br/PortalUnidade/imperatriz/paginas/pagina_estatica.jsf?id=858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&gt; Acesso em 28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2020.</w:t>
      </w:r>
    </w:p>
  </w:footnote>
  <w:footnote w:id="7">
    <w:p w14:paraId="3838819D" w14:textId="77777777" w:rsidR="0089648E" w:rsidRDefault="00497C0E">
      <w:pP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Universidade Federal do Tocantin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- Disponível em </w:t>
      </w:r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&lt;https://ww2.uft.edu.br/index.php/acessoainformacao/institucional/historia&gt;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Acesso em 22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2020.</w:t>
      </w:r>
    </w:p>
  </w:footnote>
  <w:footnote w:id="8">
    <w:p w14:paraId="6AD13D7F" w14:textId="77777777" w:rsidR="0089648E" w:rsidRDefault="00497C0E">
      <w:pP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Universidade Federal do Tocantins - Disponível em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&lt;https://ww2.uft.edu.br/index.php/jornalismo/historico//&gt;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Acesso em 25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8E720" w14:textId="77777777" w:rsidR="0089648E" w:rsidRDefault="00497C0E">
    <w:pPr>
      <w:ind w:left="0" w:hanging="2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24E2972" wp14:editId="7B98C0EB">
          <wp:simplePos x="0" y="0"/>
          <wp:positionH relativeFrom="column">
            <wp:posOffset>5153025</wp:posOffset>
          </wp:positionH>
          <wp:positionV relativeFrom="paragraph">
            <wp:posOffset>-266699</wp:posOffset>
          </wp:positionV>
          <wp:extent cx="948345" cy="530542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345" cy="530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8E"/>
    <w:rsid w:val="00497C0E"/>
    <w:rsid w:val="0064178E"/>
    <w:rsid w:val="0089648E"/>
    <w:rsid w:val="00E5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BFE8"/>
  <w15:docId w15:val="{6F41A01F-2893-4DED-A1CC-3C1A6F5E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S0103-65132013005000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iodicos2.uesb.br/index.php/ccsa/article/view/19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uft.edu.br/index.php/jornalismo/historico//" TargetMode="External"/><Relationship Id="rId3" Type="http://schemas.openxmlformats.org/officeDocument/2006/relationships/hyperlink" Target="mailto:gessielansilva@outlook.com" TargetMode="External"/><Relationship Id="rId7" Type="http://schemas.openxmlformats.org/officeDocument/2006/relationships/hyperlink" Target="https://ww2.uft.edu.br/index.php/jornalismo/historico//" TargetMode="External"/><Relationship Id="rId2" Type="http://schemas.openxmlformats.org/officeDocument/2006/relationships/hyperlink" Target="mailto:jorwilliamcastro@gmail.com" TargetMode="External"/><Relationship Id="rId1" Type="http://schemas.openxmlformats.org/officeDocument/2006/relationships/hyperlink" Target="mailto:jorwilliamcastro@gmail.com" TargetMode="External"/><Relationship Id="rId6" Type="http://schemas.openxmlformats.org/officeDocument/2006/relationships/hyperlink" Target="https://portais.ufma.br/PortalUnidade/imperatriz/paginas/pagina_estatica.jsf?id=858" TargetMode="External"/><Relationship Id="rId5" Type="http://schemas.openxmlformats.org/officeDocument/2006/relationships/hyperlink" Target="https://ww2.uft.edu.br//" TargetMode="External"/><Relationship Id="rId4" Type="http://schemas.openxmlformats.org/officeDocument/2006/relationships/hyperlink" Target="https://portais.ufma.br/PortalUf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F9aUHJzMyfXvDYqRNmfyxXO1Q==">AMUW2mW9kGmM6WS7SyJbBKYCP2cWfT3El9YOFJ8Efb6KuJLwSKX8+tmymLpwLXqp50KlVU9EPRnFYO43KMtEwBAUAIWZGB/YdIY03Fg2HpZ0ID37OD0FctU=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5804</Words>
  <Characters>31342</Characters>
  <Application>Microsoft Office Word</Application>
  <DocSecurity>0</DocSecurity>
  <Lines>261</Lines>
  <Paragraphs>74</Paragraphs>
  <ScaleCrop>false</ScaleCrop>
  <Company/>
  <LinksUpToDate>false</LinksUpToDate>
  <CharactersWithSpaces>37072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Sousa</dc:creator>
  <cp:lastModifiedBy>Gessiela</cp:lastModifiedBy>
  <cp:revision>2</cp:revision>
  <dcterms:created xsi:type="dcterms:W3CDTF">2020-07-30T14:20:00Z</dcterms:created>
  <dcterms:modified xsi:type="dcterms:W3CDTF">2020-07-30T14:20:00Z</dcterms:modified>
</cp:coreProperties>
</file>